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6" w:rsidRPr="005D473B" w:rsidRDefault="003C11FA">
      <w:pPr>
        <w:pStyle w:val="Header"/>
        <w:jc w:val="center"/>
      </w:pPr>
      <w:r>
        <w:rPr>
          <w:noProof/>
        </w:rPr>
        <w:drawing>
          <wp:inline distT="0" distB="0" distL="0" distR="0">
            <wp:extent cx="1390650" cy="285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D6" w:rsidRPr="005D473B" w:rsidRDefault="003E7AD6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5D473B">
        <w:rPr>
          <w:rFonts w:ascii="Myriad Pro" w:hAnsi="Myriad Pro"/>
          <w:b/>
          <w:bCs/>
        </w:rPr>
        <w:t>Hrvatska akademska i istraživačka mreža - CARNet</w:t>
      </w:r>
    </w:p>
    <w:p w:rsidR="003E7AD6" w:rsidRPr="005D473B" w:rsidRDefault="003E7AD6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 w:rsidRPr="005D473B">
        <w:rPr>
          <w:rFonts w:ascii="Myriad Pro" w:hAnsi="Myriad Pro"/>
          <w:b/>
          <w:bCs/>
          <w:sz w:val="36"/>
          <w:szCs w:val="36"/>
        </w:rPr>
        <w:t>CDA0035</w:t>
      </w:r>
    </w:p>
    <w:p w:rsidR="003E7AD6" w:rsidRPr="005D473B" w:rsidRDefault="003E7AD6">
      <w:pPr>
        <w:pStyle w:val="Heading1"/>
        <w:rPr>
          <w:rFonts w:ascii="Myriad Pro" w:hAnsi="Myriad Pro"/>
          <w:szCs w:val="32"/>
        </w:rPr>
      </w:pPr>
      <w:r w:rsidRPr="005D473B">
        <w:rPr>
          <w:rFonts w:ascii="Myriad Pro" w:hAnsi="Myriad Pro"/>
        </w:rPr>
        <w:t>Odluka o prihvatljivom korištenju CARNet mreže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18"/>
      </w:tblGrid>
      <w:tr w:rsidR="003E7AD6" w:rsidRPr="005D473B">
        <w:tc>
          <w:tcPr>
            <w:tcW w:w="4924" w:type="dxa"/>
            <w:vAlign w:val="center"/>
          </w:tcPr>
          <w:p w:rsidR="003E7AD6" w:rsidRPr="005D473B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ODLUKA</w:t>
            </w:r>
          </w:p>
          <w:p w:rsidR="003E7AD6" w:rsidRPr="005D473B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Pr="005D473B">
              <w:rPr>
                <w:rFonts w:ascii="Myriad Pro" w:hAnsi="Myriad Pro"/>
                <w:b/>
                <w:bCs/>
              </w:rPr>
              <w:t xml:space="preserve"> 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3E7AD6" w:rsidRPr="007B7A85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 xml:space="preserve">Verzija: </w:t>
            </w:r>
            <w:r w:rsidR="003E2381">
              <w:rPr>
                <w:rFonts w:ascii="Myriad Pro" w:hAnsi="Myriad Pro"/>
                <w:b/>
                <w:sz w:val="20"/>
                <w:szCs w:val="20"/>
              </w:rPr>
              <w:t>3.0 (15</w:t>
            </w:r>
            <w:r w:rsidR="003E2381">
              <w:rPr>
                <w:rFonts w:ascii="Myriad Pro" w:hAnsi="Myriad Pro"/>
                <w:b/>
                <w:bCs/>
                <w:sz w:val="20"/>
                <w:szCs w:val="20"/>
              </w:rPr>
              <w:t>.12</w:t>
            </w:r>
            <w:r w:rsidR="00B54C0E" w:rsidRPr="005D473B">
              <w:rPr>
                <w:rFonts w:ascii="Myriad Pro" w:hAnsi="Myriad Pro"/>
                <w:b/>
                <w:bCs/>
                <w:sz w:val="20"/>
                <w:szCs w:val="20"/>
              </w:rPr>
              <w:t>.2008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918" w:type="dxa"/>
            <w:vAlign w:val="center"/>
          </w:tcPr>
          <w:p w:rsidR="003E7AD6" w:rsidRPr="005D473B" w:rsidRDefault="003E7AD6" w:rsidP="000406F9">
            <w:pPr>
              <w:widowControl w:val="0"/>
              <w:tabs>
                <w:tab w:val="left" w:pos="429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FD43F0">
              <w:rPr>
                <w:rFonts w:ascii="Myriad Pro" w:hAnsi="Myriad Pro"/>
                <w:b/>
                <w:bCs/>
                <w:sz w:val="20"/>
                <w:szCs w:val="20"/>
              </w:rPr>
              <w:t>190-000/08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-0</w:t>
            </w:r>
            <w:r w:rsidR="00FD43F0">
              <w:rPr>
                <w:rFonts w:ascii="Myriad Pro" w:hAnsi="Myriad Pro"/>
                <w:b/>
                <w:bCs/>
                <w:sz w:val="20"/>
                <w:szCs w:val="20"/>
              </w:rPr>
              <w:t>1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/0</w:t>
            </w:r>
            <w:r w:rsidR="00FD43F0">
              <w:rPr>
                <w:rFonts w:ascii="Myriad Pro" w:hAnsi="Myriad Pro"/>
                <w:b/>
                <w:bCs/>
                <w:sz w:val="20"/>
                <w:szCs w:val="20"/>
              </w:rPr>
              <w:t>1</w:t>
            </w:r>
          </w:p>
          <w:p w:rsidR="003E7AD6" w:rsidRPr="005D473B" w:rsidRDefault="000406F9" w:rsidP="000406F9">
            <w:pPr>
              <w:widowControl w:val="0"/>
              <w:tabs>
                <w:tab w:val="left" w:pos="4715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3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   </w:t>
            </w:r>
            <w:proofErr w:type="spellStart"/>
            <w:r w:rsidR="00FE007C">
              <w:rPr>
                <w:rFonts w:ascii="Myriad Pro" w:hAnsi="Myriad Pro"/>
                <w:b/>
                <w:sz w:val="20"/>
                <w:szCs w:val="20"/>
              </w:rPr>
              <w:t>Ur</w:t>
            </w:r>
            <w:proofErr w:type="spellEnd"/>
            <w:r w:rsidR="00FE007C">
              <w:rPr>
                <w:rFonts w:ascii="Myriad Pro" w:hAnsi="Myriad Pro"/>
                <w:b/>
                <w:sz w:val="20"/>
                <w:szCs w:val="20"/>
              </w:rPr>
              <w:t>. broj: 650</w:t>
            </w:r>
            <w:r w:rsidR="00FE007C">
              <w:rPr>
                <w:rFonts w:ascii="Myriad Pro" w:hAnsi="Myriad Pro"/>
                <w:b/>
                <w:bCs/>
                <w:sz w:val="20"/>
                <w:szCs w:val="20"/>
              </w:rPr>
              <w:t>-61</w:t>
            </w:r>
            <w:r w:rsidR="003E7AD6" w:rsidRPr="005D473B">
              <w:rPr>
                <w:rFonts w:ascii="Myriad Pro" w:hAnsi="Myriad Pro"/>
                <w:b/>
                <w:bCs/>
                <w:sz w:val="20"/>
                <w:szCs w:val="20"/>
              </w:rPr>
              <w:t>-0</w:t>
            </w:r>
            <w:r w:rsidR="00FE007C">
              <w:rPr>
                <w:rFonts w:ascii="Myriad Pro" w:hAnsi="Myriad Pro"/>
                <w:b/>
                <w:bCs/>
                <w:sz w:val="20"/>
                <w:szCs w:val="20"/>
              </w:rPr>
              <w:t>8</w:t>
            </w:r>
            <w:r w:rsidR="003E7AD6" w:rsidRPr="005D473B">
              <w:rPr>
                <w:rFonts w:ascii="Myriad Pro" w:hAnsi="Myriad Pro"/>
                <w:b/>
                <w:bCs/>
                <w:sz w:val="20"/>
                <w:szCs w:val="20"/>
              </w:rPr>
              <w:t>-</w:t>
            </w:r>
            <w:r w:rsidR="00FE007C">
              <w:rPr>
                <w:rFonts w:ascii="Myriad Pro" w:hAnsi="Myriad Pro"/>
                <w:b/>
                <w:bCs/>
                <w:sz w:val="20"/>
                <w:szCs w:val="20"/>
              </w:rPr>
              <w:t>25</w:t>
            </w:r>
          </w:p>
          <w:p w:rsidR="003E7AD6" w:rsidRPr="005D473B" w:rsidRDefault="003E7AD6" w:rsidP="00DF3A5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Myriad Pro" w:hAnsi="Myriad Pro"/>
                <w:b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>Datum nastanka: 29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.03.</w:t>
            </w:r>
            <w:r w:rsidR="00DF3A57">
              <w:rPr>
                <w:rFonts w:ascii="Myriad Pro" w:hAnsi="Myriad Pro"/>
                <w:b/>
                <w:bCs/>
                <w:sz w:val="20"/>
                <w:szCs w:val="20"/>
              </w:rPr>
              <w:t>2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006.</w:t>
            </w:r>
          </w:p>
        </w:tc>
      </w:tr>
      <w:tr w:rsidR="003E7AD6" w:rsidRPr="005D473B">
        <w:tc>
          <w:tcPr>
            <w:tcW w:w="9842" w:type="dxa"/>
            <w:gridSpan w:val="2"/>
            <w:vAlign w:val="center"/>
          </w:tcPr>
          <w:p w:rsidR="003E7AD6" w:rsidRPr="00842CE6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</w:rPr>
            </w:pPr>
            <w:r w:rsidRPr="00842CE6">
              <w:rPr>
                <w:rFonts w:ascii="Myriad Pro" w:hAnsi="Myriad Pro"/>
                <w:b/>
              </w:rPr>
              <w:t xml:space="preserve">URL: </w:t>
            </w:r>
            <w:hyperlink r:id="rId9" w:history="1">
              <w:r w:rsidR="00842CE6" w:rsidRPr="00842CE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ftp://ftp.carnet.hr/pub/CARNet/docs/rules/CDA0035.pdf</w:t>
              </w:r>
            </w:hyperlink>
            <w:r w:rsidR="00842CE6" w:rsidRPr="00842CE6">
              <w:rPr>
                <w:rFonts w:ascii="Myriad Pro" w:hAnsi="Myriad Pro"/>
                <w:b/>
                <w:bCs/>
              </w:rPr>
              <w:t xml:space="preserve"> </w:t>
            </w:r>
            <w:r w:rsidR="006A51F7" w:rsidRPr="00842CE6">
              <w:rPr>
                <w:rFonts w:ascii="Myriad Pro" w:hAnsi="Myriad Pro"/>
                <w:b/>
                <w:bCs/>
              </w:rPr>
              <w:t xml:space="preserve"> </w:t>
            </w:r>
          </w:p>
        </w:tc>
      </w:tr>
    </w:tbl>
    <w:p w:rsidR="003E7AD6" w:rsidRPr="005D473B" w:rsidRDefault="003E7AD6" w:rsidP="00975281">
      <w:pPr>
        <w:widowControl w:val="0"/>
        <w:autoSpaceDE w:val="0"/>
        <w:autoSpaceDN w:val="0"/>
        <w:adjustRightInd w:val="0"/>
        <w:spacing w:before="360" w:after="120" w:line="257" w:lineRule="auto"/>
        <w:jc w:val="center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/>
          <w:b/>
          <w:bCs/>
          <w:sz w:val="26"/>
          <w:szCs w:val="26"/>
        </w:rPr>
        <w:t>Uvod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Svrha Odluke o prihvatljivom korištenju CARNet mreže je jasno određivanje načina dopuštenog korištenja CARNet mreže i njenih usluga.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 xml:space="preserve">Odluka vrijedi za ustanove </w:t>
      </w:r>
      <w:r w:rsidR="008A18FA">
        <w:rPr>
          <w:rFonts w:ascii="Myriad Pro" w:hAnsi="Myriad Pro"/>
          <w:color w:val="000000"/>
          <w:sz w:val="22"/>
        </w:rPr>
        <w:t xml:space="preserve">članice </w:t>
      </w:r>
      <w:proofErr w:type="spellStart"/>
      <w:r w:rsidRPr="005D473B">
        <w:rPr>
          <w:rFonts w:ascii="Myriad Pro" w:hAnsi="Myriad Pro"/>
          <w:color w:val="000000"/>
          <w:sz w:val="22"/>
        </w:rPr>
        <w:t>CARNet</w:t>
      </w:r>
      <w:r w:rsidR="008A18FA">
        <w:rPr>
          <w:rFonts w:ascii="Myriad Pro" w:hAnsi="Myriad Pro"/>
          <w:color w:val="000000"/>
          <w:sz w:val="22"/>
        </w:rPr>
        <w:t>a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i sve </w:t>
      </w:r>
      <w:proofErr w:type="spellStart"/>
      <w:r w:rsidRPr="005D473B">
        <w:rPr>
          <w:rFonts w:ascii="Myriad Pro" w:hAnsi="Myriad Pro"/>
          <w:color w:val="000000"/>
          <w:sz w:val="22"/>
        </w:rPr>
        <w:t>CARNetove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korisnike. Obveza je svake ustanove osigurati da se na području njezine odgovornosti korisnici ponašaju u skladu s odredbama ove Odluke o prihvatljivom korištenju CARNet mreže.</w:t>
      </w:r>
    </w:p>
    <w:p w:rsidR="003E7AD6" w:rsidRPr="005D473B" w:rsidRDefault="002862DA">
      <w:pPr>
        <w:widowControl w:val="0"/>
        <w:autoSpaceDE w:val="0"/>
        <w:autoSpaceDN w:val="0"/>
        <w:adjustRightInd w:val="0"/>
        <w:spacing w:before="240" w:after="120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/>
          <w:b/>
          <w:bCs/>
          <w:iCs/>
          <w:sz w:val="26"/>
          <w:szCs w:val="26"/>
        </w:rPr>
        <w:t>1</w:t>
      </w:r>
      <w:r w:rsidR="003E7AD6" w:rsidRPr="005D473B">
        <w:rPr>
          <w:rFonts w:ascii="Myriad Pro" w:hAnsi="Myriad Pro"/>
          <w:b/>
          <w:bCs/>
          <w:iCs/>
          <w:sz w:val="26"/>
          <w:szCs w:val="26"/>
        </w:rPr>
        <w:t xml:space="preserve">. Sigurnosna politika ustanove </w:t>
      </w:r>
      <w:r w:rsidR="008A18FA" w:rsidRPr="005D473B">
        <w:rPr>
          <w:rFonts w:ascii="Myriad Pro" w:hAnsi="Myriad Pro"/>
          <w:b/>
          <w:bCs/>
          <w:iCs/>
          <w:sz w:val="26"/>
          <w:szCs w:val="26"/>
        </w:rPr>
        <w:t xml:space="preserve">članice </w:t>
      </w:r>
      <w:r w:rsidR="008A18FA">
        <w:rPr>
          <w:rFonts w:ascii="Myriad Pro" w:hAnsi="Myriad Pro"/>
          <w:b/>
          <w:bCs/>
          <w:iCs/>
          <w:sz w:val="26"/>
          <w:szCs w:val="26"/>
        </w:rPr>
        <w:t xml:space="preserve"> </w:t>
      </w:r>
      <w:proofErr w:type="spellStart"/>
      <w:r w:rsidR="003E7AD6" w:rsidRPr="005D473B">
        <w:rPr>
          <w:rFonts w:ascii="Myriad Pro" w:hAnsi="Myriad Pro"/>
          <w:b/>
          <w:bCs/>
          <w:iCs/>
          <w:sz w:val="26"/>
          <w:szCs w:val="26"/>
        </w:rPr>
        <w:t>CARNet</w:t>
      </w:r>
      <w:r w:rsidR="008A18FA">
        <w:rPr>
          <w:rFonts w:ascii="Myriad Pro" w:hAnsi="Myriad Pro"/>
          <w:b/>
          <w:bCs/>
          <w:iCs/>
          <w:sz w:val="26"/>
          <w:szCs w:val="26"/>
        </w:rPr>
        <w:t>a</w:t>
      </w:r>
      <w:proofErr w:type="spellEnd"/>
      <w:r w:rsidR="003E7AD6" w:rsidRPr="005D473B">
        <w:rPr>
          <w:rFonts w:ascii="Myriad Pro" w:hAnsi="Myriad Pro"/>
          <w:b/>
          <w:bCs/>
          <w:iCs/>
          <w:sz w:val="26"/>
          <w:szCs w:val="26"/>
        </w:rPr>
        <w:t xml:space="preserve"> 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color w:val="000000"/>
          <w:sz w:val="22"/>
        </w:rPr>
      </w:pPr>
      <w:bookmarkStart w:id="0" w:name="page2"/>
      <w:bookmarkEnd w:id="0"/>
      <w:r w:rsidRPr="005D473B">
        <w:rPr>
          <w:rFonts w:ascii="Myriad Pro" w:hAnsi="Myriad Pro"/>
          <w:color w:val="000000"/>
          <w:sz w:val="22"/>
        </w:rPr>
        <w:t>Obveza je svake ustanove članice propisati sigurnosnu politiku na svojoj ustanovi u skladu sa zakonom i propisima koji vrijede u državi, te u skladu s lokalnom kulturom ustanove u roku šest mjeseci od dana donošenja ove Odluke, odnosno od dana spajanja u CARNet mrežu.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color w:val="000000"/>
          <w:sz w:val="22"/>
        </w:rPr>
      </w:pPr>
    </w:p>
    <w:p w:rsidR="003E7AD6" w:rsidRPr="005D473B" w:rsidRDefault="003E7AD6" w:rsidP="000D60B0">
      <w:pPr>
        <w:pStyle w:val="BodyText"/>
        <w:spacing w:line="247" w:lineRule="auto"/>
        <w:rPr>
          <w:lang w:val="hr-HR"/>
        </w:rPr>
      </w:pPr>
      <w:r w:rsidRPr="005D473B">
        <w:rPr>
          <w:lang w:val="hr-HR"/>
        </w:rPr>
        <w:t xml:space="preserve">Svrha donošenja sigurnosne politike ustanove </w:t>
      </w:r>
      <w:r w:rsidR="008A18FA" w:rsidRPr="005D473B">
        <w:rPr>
          <w:lang w:val="hr-HR"/>
        </w:rPr>
        <w:t xml:space="preserve">članice </w:t>
      </w:r>
      <w:r w:rsidR="008A18FA">
        <w:rPr>
          <w:lang w:val="hr-HR"/>
        </w:rPr>
        <w:t xml:space="preserve"> </w:t>
      </w:r>
      <w:proofErr w:type="spellStart"/>
      <w:r w:rsidRPr="005D473B">
        <w:rPr>
          <w:lang w:val="hr-HR"/>
        </w:rPr>
        <w:t>CARNet</w:t>
      </w:r>
      <w:r w:rsidR="008A18FA">
        <w:rPr>
          <w:lang w:val="hr-HR"/>
        </w:rPr>
        <w:t>a</w:t>
      </w:r>
      <w:proofErr w:type="spellEnd"/>
      <w:r w:rsidR="008A18FA">
        <w:rPr>
          <w:lang w:val="hr-HR"/>
        </w:rPr>
        <w:t xml:space="preserve"> </w:t>
      </w:r>
      <w:r w:rsidRPr="005D473B">
        <w:rPr>
          <w:lang w:val="hr-HR"/>
        </w:rPr>
        <w:t xml:space="preserve"> jest da se osigura korištenje CARNet mreže u skladu s ovom Odlukom, uspostavi odgovarajuća razina sigurnosti u skladu s potrebama ustanove, te doprinese sigurnosti CARNet mreže u cjelini.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color w:val="000000"/>
          <w:sz w:val="22"/>
        </w:rPr>
      </w:pPr>
    </w:p>
    <w:p w:rsidR="003E7AD6" w:rsidRPr="005D473B" w:rsidRDefault="003E7AD6" w:rsidP="001D0FAA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 xml:space="preserve">CARNet je donio prijedlog sigurnosne politike za ustanove članice </w:t>
      </w:r>
      <w:r w:rsidRPr="00447A42">
        <w:rPr>
          <w:rFonts w:ascii="Myriad Pro" w:hAnsi="Myriad Pro"/>
          <w:sz w:val="22"/>
        </w:rPr>
        <w:t>(</w:t>
      </w:r>
      <w:hyperlink r:id="rId10" w:history="1">
        <w:r w:rsidR="00F4161B" w:rsidRPr="00447A42">
          <w:rPr>
            <w:rStyle w:val="Hyperlink"/>
            <w:rFonts w:ascii="Myriad Pro" w:hAnsi="Myriad Pro"/>
            <w:color w:val="auto"/>
            <w:sz w:val="22"/>
          </w:rPr>
          <w:t>http://sistemac.carnet.hr/system/files/sigurnosna_politika_ustanove.pdf</w:t>
        </w:r>
      </w:hyperlink>
      <w:r w:rsidRPr="00447A42">
        <w:rPr>
          <w:rFonts w:ascii="Myriad Pro" w:hAnsi="Myriad Pro"/>
          <w:sz w:val="22"/>
        </w:rPr>
        <w:t>) na koji se mogu referencirati</w:t>
      </w:r>
      <w:r w:rsidRPr="005D473B">
        <w:rPr>
          <w:rFonts w:ascii="Myriad Pro" w:hAnsi="Myriad Pro"/>
          <w:color w:val="000000"/>
          <w:sz w:val="22"/>
        </w:rPr>
        <w:t xml:space="preserve"> ustanove članice pri donošenju vlastitih pravila.</w:t>
      </w:r>
    </w:p>
    <w:p w:rsidR="003E7AD6" w:rsidRPr="005D473B" w:rsidRDefault="002862DA" w:rsidP="000D60B0">
      <w:pPr>
        <w:widowControl w:val="0"/>
        <w:autoSpaceDE w:val="0"/>
        <w:autoSpaceDN w:val="0"/>
        <w:adjustRightInd w:val="0"/>
        <w:spacing w:before="240" w:after="120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/>
          <w:b/>
          <w:bCs/>
          <w:sz w:val="26"/>
          <w:szCs w:val="26"/>
        </w:rPr>
        <w:t>2</w:t>
      </w:r>
      <w:r w:rsidR="003E7AD6" w:rsidRPr="005D473B">
        <w:rPr>
          <w:rFonts w:ascii="Myriad Pro" w:hAnsi="Myriad Pro"/>
          <w:b/>
          <w:bCs/>
          <w:sz w:val="26"/>
          <w:szCs w:val="26"/>
        </w:rPr>
        <w:t>. Prihvatljivo korištenje CARNet mreže</w:t>
      </w:r>
    </w:p>
    <w:p w:rsidR="003E7AD6" w:rsidRPr="005D473B" w:rsidRDefault="003E7AD6" w:rsidP="000D60B0">
      <w:pPr>
        <w:pStyle w:val="BodyText2"/>
        <w:overflowPunct/>
        <w:spacing w:after="0"/>
        <w:rPr>
          <w:szCs w:val="24"/>
        </w:rPr>
      </w:pPr>
      <w:r w:rsidRPr="005D473B">
        <w:rPr>
          <w:szCs w:val="24"/>
        </w:rPr>
        <w:t xml:space="preserve">Računalna mreža </w:t>
      </w:r>
      <w:proofErr w:type="spellStart"/>
      <w:r w:rsidRPr="005D473B">
        <w:rPr>
          <w:szCs w:val="24"/>
        </w:rPr>
        <w:t>CARNeta</w:t>
      </w:r>
      <w:proofErr w:type="spellEnd"/>
      <w:r w:rsidRPr="005D473B">
        <w:rPr>
          <w:szCs w:val="24"/>
        </w:rPr>
        <w:t xml:space="preserve"> i njezine usluge na raspolaganju su korisnicima radi obavljanja posla, odnosno za učenje, podučavanje i istraživanje. Ova prava korisnici su dužni ostvarivati poštujući potrebe i prava ostalih korisnika. Od ustanova spojenih na CARNet mrežu, kao i od njihovih korisnika očekuje se odgovornost pri korištenju informacijskih resursa. Prihvatljivo korištenje CARNet mreže je svako korištenje u skladu s ovom Odlukom.</w:t>
      </w:r>
    </w:p>
    <w:p w:rsidR="003E7AD6" w:rsidRPr="005D473B" w:rsidRDefault="003E7AD6" w:rsidP="001D0FAA">
      <w:pPr>
        <w:widowControl w:val="0"/>
        <w:overflowPunct w:val="0"/>
        <w:autoSpaceDE w:val="0"/>
        <w:autoSpaceDN w:val="0"/>
        <w:adjustRightInd w:val="0"/>
        <w:spacing w:before="240" w:line="247" w:lineRule="auto"/>
        <w:jc w:val="both"/>
        <w:rPr>
          <w:rFonts w:ascii="Myriad Pro" w:hAnsi="Myriad Pro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 xml:space="preserve">U slučaju računalno sigurnosnog incidenta, potrebno je moći identificirati počinitelja. Ustanova </w:t>
      </w:r>
      <w:r w:rsidR="00605124">
        <w:rPr>
          <w:rFonts w:ascii="Myriad Pro" w:hAnsi="Myriad Pro"/>
          <w:color w:val="000000"/>
          <w:sz w:val="22"/>
        </w:rPr>
        <w:t xml:space="preserve">članica </w:t>
      </w:r>
      <w:proofErr w:type="spellStart"/>
      <w:r w:rsidRPr="005D473B">
        <w:rPr>
          <w:rFonts w:ascii="Myriad Pro" w:hAnsi="Myriad Pro"/>
          <w:color w:val="000000"/>
          <w:sz w:val="22"/>
        </w:rPr>
        <w:t>CARNet</w:t>
      </w:r>
      <w:r w:rsidR="00605124">
        <w:rPr>
          <w:rFonts w:ascii="Myriad Pro" w:hAnsi="Myriad Pro"/>
          <w:color w:val="000000"/>
          <w:sz w:val="22"/>
        </w:rPr>
        <w:t>a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dužna je osigurati infrastrukturu koja će omogućiti identifikaciju korisnika CARNet mreže i putem CARNet mreže dostupnih resursa najmanje dvije godine nakon korištenja resursa, odnosno iznimno kraće ukoliko su tehničke mogućnosti sustava ograničavajuće. Ustanovi </w:t>
      </w:r>
      <w:r w:rsidR="00605124" w:rsidRPr="005D473B">
        <w:rPr>
          <w:rFonts w:ascii="Myriad Pro" w:hAnsi="Myriad Pro"/>
          <w:color w:val="000000"/>
          <w:sz w:val="22"/>
        </w:rPr>
        <w:t xml:space="preserve">članici </w:t>
      </w:r>
      <w:proofErr w:type="spellStart"/>
      <w:r w:rsidR="00605124">
        <w:rPr>
          <w:rFonts w:ascii="Myriad Pro" w:hAnsi="Myriad Pro"/>
          <w:color w:val="000000"/>
          <w:sz w:val="22"/>
        </w:rPr>
        <w:t>CARNeta</w:t>
      </w:r>
      <w:proofErr w:type="spellEnd"/>
      <w:r w:rsidR="00605124">
        <w:rPr>
          <w:rFonts w:ascii="Myriad Pro" w:hAnsi="Myriad Pro"/>
          <w:color w:val="000000"/>
          <w:sz w:val="22"/>
        </w:rPr>
        <w:t xml:space="preserve"> </w:t>
      </w:r>
      <w:r w:rsidRPr="005D473B">
        <w:rPr>
          <w:rFonts w:ascii="Myriad Pro" w:hAnsi="Myriad Pro"/>
          <w:color w:val="000000"/>
          <w:sz w:val="22"/>
        </w:rPr>
        <w:t xml:space="preserve">ostavljeno je da sama odluči koji će </w:t>
      </w:r>
      <w:proofErr w:type="spellStart"/>
      <w:r w:rsidRPr="005D473B">
        <w:rPr>
          <w:rFonts w:ascii="Myriad Pro" w:hAnsi="Myriad Pro"/>
          <w:color w:val="000000"/>
          <w:sz w:val="22"/>
        </w:rPr>
        <w:t>autentikacijski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model koristiti. </w:t>
      </w:r>
      <w:r w:rsidR="00605124">
        <w:rPr>
          <w:rFonts w:ascii="Myriad Pro" w:hAnsi="Myriad Pro"/>
          <w:color w:val="000000"/>
          <w:sz w:val="22"/>
        </w:rPr>
        <w:t xml:space="preserve">Preporuka </w:t>
      </w:r>
      <w:proofErr w:type="spellStart"/>
      <w:r w:rsidRPr="005D473B">
        <w:rPr>
          <w:rFonts w:ascii="Myriad Pro" w:hAnsi="Myriad Pro"/>
          <w:color w:val="000000"/>
          <w:sz w:val="22"/>
        </w:rPr>
        <w:t>CARNeta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</w:t>
      </w:r>
      <w:r w:rsidR="00605124">
        <w:rPr>
          <w:rFonts w:ascii="Myriad Pro" w:hAnsi="Myriad Pro"/>
          <w:color w:val="000000"/>
          <w:sz w:val="22"/>
        </w:rPr>
        <w:t>je k</w:t>
      </w:r>
      <w:r w:rsidRPr="005D473B">
        <w:rPr>
          <w:rFonts w:ascii="Myriad Pro" w:hAnsi="Myriad Pro"/>
          <w:color w:val="000000"/>
          <w:sz w:val="22"/>
        </w:rPr>
        <w:t xml:space="preserve">orištenje </w:t>
      </w:r>
      <w:proofErr w:type="spellStart"/>
      <w:r w:rsidRPr="005D473B">
        <w:rPr>
          <w:rFonts w:ascii="Myriad Pro" w:hAnsi="Myriad Pro"/>
          <w:color w:val="000000"/>
          <w:sz w:val="22"/>
        </w:rPr>
        <w:lastRenderedPageBreak/>
        <w:t>autentikacijske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i autorizacijske infrastrukture u sustavu znanosti i visokog obrazovanja u RH </w:t>
      </w:r>
      <w:r w:rsidR="00605124" w:rsidRPr="00605124">
        <w:rPr>
          <w:rFonts w:ascii="Myriad Pro" w:hAnsi="Myriad Pro"/>
          <w:color w:val="000000"/>
          <w:sz w:val="22"/>
        </w:rPr>
        <w:t>AAI</w:t>
      </w:r>
      <w:r w:rsidR="00605124">
        <w:rPr>
          <w:rFonts w:ascii="Myriad Pro" w:hAnsi="Myriad Pro"/>
          <w:color w:val="000000"/>
          <w:sz w:val="22"/>
        </w:rPr>
        <w:t>@</w:t>
      </w:r>
      <w:proofErr w:type="spellStart"/>
      <w:r w:rsidR="00605124">
        <w:rPr>
          <w:rFonts w:ascii="Myriad Pro" w:hAnsi="Myriad Pro"/>
          <w:color w:val="000000"/>
          <w:sz w:val="22"/>
        </w:rPr>
        <w:t>EDU</w:t>
      </w:r>
      <w:r w:rsidR="00605124" w:rsidRPr="00605124">
        <w:rPr>
          <w:rFonts w:ascii="Myriad Pro" w:hAnsi="Myriad Pro"/>
          <w:color w:val="000000"/>
          <w:sz w:val="22"/>
        </w:rPr>
        <w:t>Hr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(</w:t>
      </w:r>
      <w:hyperlink r:id="rId11" w:history="1">
        <w:r w:rsidRPr="005D473B">
          <w:rPr>
            <w:rStyle w:val="Hyperlink"/>
            <w:rFonts w:ascii="Myriad Pro" w:hAnsi="Myriad Pro"/>
            <w:color w:val="000000"/>
            <w:sz w:val="22"/>
          </w:rPr>
          <w:t>http://www.aaiedu.hr</w:t>
        </w:r>
      </w:hyperlink>
      <w:r w:rsidRPr="005D473B">
        <w:rPr>
          <w:rFonts w:ascii="Myriad Pro" w:hAnsi="Myriad Pro"/>
          <w:color w:val="000000"/>
          <w:sz w:val="22"/>
        </w:rPr>
        <w:t xml:space="preserve">), koja se koristi za </w:t>
      </w:r>
      <w:proofErr w:type="spellStart"/>
      <w:r w:rsidRPr="005D473B">
        <w:rPr>
          <w:rFonts w:ascii="Myriad Pro" w:hAnsi="Myriad Pro"/>
          <w:color w:val="000000"/>
          <w:sz w:val="22"/>
        </w:rPr>
        <w:t>autentikaciju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i autorizaciju </w:t>
      </w:r>
      <w:proofErr w:type="spellStart"/>
      <w:r w:rsidRPr="005D473B">
        <w:rPr>
          <w:rFonts w:ascii="Myriad Pro" w:hAnsi="Myriad Pro"/>
          <w:color w:val="000000"/>
          <w:sz w:val="22"/>
        </w:rPr>
        <w:t>CARNetovih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usluga. U slučaju računalno sigurnosnog incidenta u kojem ustanova </w:t>
      </w:r>
      <w:r w:rsidR="00605124" w:rsidRPr="005D473B">
        <w:rPr>
          <w:rFonts w:ascii="Myriad Pro" w:hAnsi="Myriad Pro"/>
          <w:color w:val="000000"/>
          <w:sz w:val="22"/>
        </w:rPr>
        <w:t xml:space="preserve">članica </w:t>
      </w:r>
      <w:proofErr w:type="spellStart"/>
      <w:r w:rsidRPr="005D473B">
        <w:rPr>
          <w:rFonts w:ascii="Myriad Pro" w:hAnsi="Myriad Pro"/>
          <w:color w:val="000000"/>
          <w:sz w:val="22"/>
        </w:rPr>
        <w:t>CARNet</w:t>
      </w:r>
      <w:r w:rsidR="00605124">
        <w:rPr>
          <w:rFonts w:ascii="Myriad Pro" w:hAnsi="Myriad Pro"/>
          <w:color w:val="000000"/>
          <w:sz w:val="22"/>
        </w:rPr>
        <w:t>a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</w:t>
      </w:r>
      <w:r w:rsidR="00605124">
        <w:rPr>
          <w:rFonts w:ascii="Myriad Pro" w:hAnsi="Myriad Pro"/>
          <w:color w:val="000000"/>
          <w:sz w:val="22"/>
        </w:rPr>
        <w:t>nije u moguć</w:t>
      </w:r>
      <w:r w:rsidRPr="005D473B">
        <w:rPr>
          <w:rFonts w:ascii="Myriad Pro" w:hAnsi="Myriad Pro"/>
          <w:color w:val="000000"/>
          <w:sz w:val="22"/>
        </w:rPr>
        <w:t>nosti identificirati korisnika resursa, CARNet će u cilju očuvanja CARNet mreže u cjelini morati poduzeti oštrije mjere prema takvim ustanovama.</w:t>
      </w:r>
      <w:r w:rsidRPr="005D473B">
        <w:rPr>
          <w:rFonts w:ascii="TimesNewRomanPSMT" w:hAnsi="TimesNewRomanPSMT"/>
          <w:color w:val="000000"/>
        </w:rPr>
        <w:t xml:space="preserve"> </w:t>
      </w:r>
    </w:p>
    <w:p w:rsidR="003E7AD6" w:rsidRPr="005D473B" w:rsidRDefault="002862DA">
      <w:pPr>
        <w:widowControl w:val="0"/>
        <w:autoSpaceDE w:val="0"/>
        <w:autoSpaceDN w:val="0"/>
        <w:adjustRightInd w:val="0"/>
        <w:spacing w:before="240" w:after="120"/>
        <w:ind w:left="11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 w:cs="OfficinaSansTT"/>
          <w:b/>
          <w:bCs/>
          <w:sz w:val="26"/>
          <w:szCs w:val="26"/>
        </w:rPr>
        <w:t>3</w:t>
      </w:r>
      <w:r w:rsidR="003E7AD6" w:rsidRPr="005D473B">
        <w:rPr>
          <w:rFonts w:ascii="Myriad Pro" w:hAnsi="Myriad Pro" w:cs="OfficinaSansTT"/>
          <w:b/>
          <w:bCs/>
          <w:sz w:val="26"/>
          <w:szCs w:val="26"/>
        </w:rPr>
        <w:t>.</w:t>
      </w:r>
      <w:r w:rsidR="003E7AD6" w:rsidRPr="005D473B">
        <w:rPr>
          <w:rFonts w:ascii="Myriad Pro" w:hAnsi="Myriad Pro" w:cs="OfficinaSansTT"/>
          <w:b/>
          <w:bCs/>
          <w:sz w:val="23"/>
          <w:szCs w:val="23"/>
        </w:rPr>
        <w:t xml:space="preserve"> </w:t>
      </w:r>
      <w:r w:rsidR="003E7AD6" w:rsidRPr="005D473B">
        <w:rPr>
          <w:rFonts w:ascii="Myriad Pro" w:hAnsi="Myriad Pro"/>
          <w:b/>
          <w:sz w:val="26"/>
          <w:szCs w:val="26"/>
        </w:rPr>
        <w:t>Neprihvatljivo kor</w:t>
      </w:r>
      <w:r w:rsidR="00EF58FF">
        <w:rPr>
          <w:rFonts w:ascii="Myriad Pro" w:hAnsi="Myriad Pro"/>
          <w:b/>
          <w:sz w:val="26"/>
          <w:szCs w:val="26"/>
        </w:rPr>
        <w:t>i</w:t>
      </w:r>
      <w:r w:rsidR="003E7AD6" w:rsidRPr="005D473B">
        <w:rPr>
          <w:rFonts w:ascii="Myriad Pro" w:hAnsi="Myriad Pro"/>
          <w:b/>
          <w:sz w:val="26"/>
          <w:szCs w:val="26"/>
        </w:rPr>
        <w:t>štenje CARNet mreže</w:t>
      </w:r>
    </w:p>
    <w:p w:rsidR="003E7AD6" w:rsidRPr="005D473B" w:rsidRDefault="003E7AD6" w:rsidP="000D60B0">
      <w:pPr>
        <w:pStyle w:val="BodyText"/>
        <w:spacing w:line="247" w:lineRule="auto"/>
        <w:jc w:val="both"/>
        <w:rPr>
          <w:lang w:val="hr-HR"/>
        </w:rPr>
      </w:pPr>
      <w:r w:rsidRPr="005D473B">
        <w:rPr>
          <w:lang w:val="hr-HR"/>
        </w:rPr>
        <w:t>Neprihvatljivim korištenjem se smatra svako korištenje računala na način koji bi doveo do povrede zakona, propisa ili etičkih normi, a mogao bi izazvati materijalnu ili nematerijalnu štetu za CARNet i ustanove članice.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>Nije dopušteno stvaranje ili prijenos, osim eventualno u okviru znanstvenog istraživanja: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materijala koji je napravljen da bi izazvao neugodnosti, neprilike ili širio strahove</w:t>
      </w:r>
      <w:r w:rsidRPr="005D473B">
        <w:rPr>
          <w:rFonts w:ascii="Myriad Pro" w:hAnsi="Myriad Pro" w:cs="OfficinaSansTT"/>
          <w:bCs/>
          <w:sz w:val="22"/>
          <w:szCs w:val="23"/>
        </w:rPr>
        <w:t>;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uvredljivog i ponižavajućeg materijala;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distribuiranje autorski zaštićenih djela bez dozvole vlasnika prava, odnosno ostalih informacija bez suglasnosti vlasnika istih.</w:t>
      </w:r>
    </w:p>
    <w:p w:rsidR="003E7AD6" w:rsidRPr="005D473B" w:rsidRDefault="003E7AD6">
      <w:pPr>
        <w:widowControl w:val="0"/>
        <w:autoSpaceDE w:val="0"/>
        <w:autoSpaceDN w:val="0"/>
        <w:adjustRightInd w:val="0"/>
        <w:spacing w:before="120" w:line="247" w:lineRule="auto"/>
        <w:ind w:left="11"/>
        <w:jc w:val="both"/>
        <w:rPr>
          <w:rFonts w:ascii="Myriad Pro" w:hAnsi="Myriad Pro"/>
          <w:color w:val="000000"/>
          <w:sz w:val="22"/>
        </w:rPr>
      </w:pPr>
    </w:p>
    <w:p w:rsidR="003E7AD6" w:rsidRPr="005D473B" w:rsidRDefault="003E7AD6" w:rsidP="006A0AF4">
      <w:pPr>
        <w:pStyle w:val="BodyText"/>
        <w:spacing w:after="120" w:line="247" w:lineRule="auto"/>
        <w:jc w:val="both"/>
        <w:rPr>
          <w:lang w:val="hr-HR"/>
        </w:rPr>
      </w:pPr>
      <w:r w:rsidRPr="005D473B">
        <w:rPr>
          <w:lang w:val="hr-HR"/>
        </w:rPr>
        <w:t>Jednako tako, nije dopušteno: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 w:rsidRPr="005D473B">
        <w:rPr>
          <w:rFonts w:ascii="Myriad Pro" w:hAnsi="Myriad Pro"/>
          <w:color w:val="000000"/>
          <w:sz w:val="22"/>
        </w:rPr>
        <w:t>uporaba tuđeg elektroničkog identiteta, ili davanje svojeg elektroničkog identiteta na uporabu drugim osobama, bilo da se radi o korištenju računala ili servisa pod tuđim imenom, slanje poruka pod tuđim imenom ili kupovini tuđom kreditnom karticom;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slanje neželjenih elektroničkih poruka (</w:t>
      </w:r>
      <w:proofErr w:type="spellStart"/>
      <w:r w:rsidRPr="005D473B">
        <w:rPr>
          <w:rFonts w:ascii="Myriad Pro" w:hAnsi="Myriad Pro"/>
          <w:color w:val="000000"/>
          <w:sz w:val="22"/>
        </w:rPr>
        <w:t>npr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. e-mail, </w:t>
      </w:r>
      <w:proofErr w:type="spellStart"/>
      <w:r w:rsidRPr="005D473B">
        <w:rPr>
          <w:rFonts w:ascii="Myriad Pro" w:hAnsi="Myriad Pro"/>
          <w:color w:val="000000"/>
          <w:sz w:val="22"/>
        </w:rPr>
        <w:t>fax</w:t>
      </w:r>
      <w:proofErr w:type="spellEnd"/>
      <w:r w:rsidRPr="005D473B">
        <w:rPr>
          <w:rFonts w:ascii="Myriad Pro" w:hAnsi="Myriad Pro"/>
          <w:color w:val="000000"/>
          <w:sz w:val="22"/>
        </w:rPr>
        <w:t>-server);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 xml:space="preserve">uporaba računalnih resursa izvan granica ili na način koji korisniku nije odobren. Ukoliko nije siguran glede prava i načina uporabe nekog resursa, korisnik je dužan obratiti se administratoru odgovarajućeg računala odnosno </w:t>
      </w:r>
      <w:proofErr w:type="spellStart"/>
      <w:r w:rsidRPr="005D473B">
        <w:rPr>
          <w:rFonts w:ascii="Myriad Pro" w:hAnsi="Myriad Pro"/>
          <w:color w:val="000000"/>
          <w:sz w:val="22"/>
        </w:rPr>
        <w:t>helpdesk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službi </w:t>
      </w:r>
      <w:proofErr w:type="spellStart"/>
      <w:r w:rsidRPr="005D473B">
        <w:rPr>
          <w:rFonts w:ascii="Myriad Pro" w:hAnsi="Myriad Pro"/>
          <w:color w:val="000000"/>
          <w:sz w:val="22"/>
        </w:rPr>
        <w:t>CARNeta</w:t>
      </w:r>
      <w:proofErr w:type="spellEnd"/>
      <w:r w:rsidRPr="005D473B">
        <w:rPr>
          <w:rFonts w:ascii="Myriad Pro" w:hAnsi="Myriad Pro"/>
          <w:color w:val="000000"/>
          <w:sz w:val="22"/>
        </w:rPr>
        <w:t>;</w:t>
      </w:r>
    </w:p>
    <w:p w:rsidR="003E7AD6" w:rsidRPr="00206755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sz w:val="22"/>
        </w:rPr>
      </w:pPr>
      <w:r w:rsidRPr="005D473B">
        <w:rPr>
          <w:rFonts w:ascii="Myriad Pro" w:hAnsi="Myriad Pro"/>
          <w:color w:val="000000"/>
          <w:sz w:val="22"/>
        </w:rPr>
        <w:t>povreda općeprihvatljivog ponašanja korisnika u komunikaciji pojedinaca ili u grupi na Internetu (</w:t>
      </w:r>
      <w:proofErr w:type="spellStart"/>
      <w:r w:rsidRPr="005D473B">
        <w:rPr>
          <w:rFonts w:ascii="Myriad Pro" w:hAnsi="Myriad Pro"/>
          <w:color w:val="000000"/>
          <w:sz w:val="22"/>
        </w:rPr>
        <w:t>netiquette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) definiranog u dokumentima dostupnim na adresama </w:t>
      </w:r>
      <w:hyperlink r:id="rId12" w:history="1">
        <w:r w:rsidR="00E567EF" w:rsidRPr="00206755">
          <w:rPr>
            <w:rStyle w:val="Hyperlink"/>
            <w:rFonts w:ascii="Myriad Pro" w:hAnsi="Myriad Pro"/>
            <w:color w:val="auto"/>
            <w:sz w:val="22"/>
          </w:rPr>
          <w:t>http://www.carnet.hr/pravila_ponasanja_na_internetu_internet_bonton/komunikacija_pojedinaca</w:t>
        </w:r>
      </w:hyperlink>
      <w:r w:rsidR="00F96526" w:rsidRPr="00206755">
        <w:rPr>
          <w:rFonts w:ascii="Myriad Pro" w:hAnsi="Myriad Pro"/>
          <w:sz w:val="22"/>
        </w:rPr>
        <w:t xml:space="preserve"> </w:t>
      </w:r>
      <w:r w:rsidRPr="00206755">
        <w:rPr>
          <w:rFonts w:ascii="Myriad Pro" w:hAnsi="Myriad Pro"/>
          <w:sz w:val="22"/>
        </w:rPr>
        <w:t xml:space="preserve"> i </w:t>
      </w:r>
    </w:p>
    <w:p w:rsidR="003E7AD6" w:rsidRPr="00206755" w:rsidRDefault="009A5177" w:rsidP="000D60B0">
      <w:pPr>
        <w:widowControl w:val="0"/>
        <w:autoSpaceDE w:val="0"/>
        <w:autoSpaceDN w:val="0"/>
        <w:adjustRightInd w:val="0"/>
        <w:spacing w:before="120" w:line="247" w:lineRule="auto"/>
        <w:ind w:left="360"/>
        <w:jc w:val="both"/>
        <w:rPr>
          <w:rFonts w:ascii="Myriad Pro" w:hAnsi="Myriad Pro"/>
          <w:sz w:val="22"/>
          <w:szCs w:val="18"/>
        </w:rPr>
      </w:pPr>
      <w:hyperlink r:id="rId13" w:history="1">
        <w:r w:rsidR="00E567EF" w:rsidRPr="00206755">
          <w:rPr>
            <w:rStyle w:val="Hyperlink"/>
            <w:rFonts w:ascii="Myriad Pro" w:hAnsi="Myriad Pro"/>
            <w:color w:val="auto"/>
            <w:sz w:val="22"/>
          </w:rPr>
          <w:t>http://www.carnet.hr/pravila_ponasanja_na_internetu_internet_bonton/komunikacija_u_grupi</w:t>
        </w:r>
      </w:hyperlink>
      <w:r w:rsidR="003E7AD6" w:rsidRPr="00206755">
        <w:rPr>
          <w:rFonts w:ascii="Myriad Pro" w:hAnsi="Myriad Pro"/>
          <w:sz w:val="22"/>
        </w:rPr>
        <w:t>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korištenje CARNet mreže na takav način da ometa rad pojedinog servisa ili ometa korištenje drugim korisnicima;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uporaba mrežnih i mrežom dostupnih usluga i servisa protivno pravilima njihove uporabe te onih koji su zaštićeni lozinkom ili pisanim upozorenjem vlasnika;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uporaba programske podrške koja ometa rad računala spojenih u CARNet odnosno Internet ili mijenja (može promijeniti) prava korisnika i dostupne resurse;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 xml:space="preserve">korištenje </w:t>
      </w:r>
      <w:proofErr w:type="spellStart"/>
      <w:r w:rsidRPr="005D473B">
        <w:rPr>
          <w:rFonts w:ascii="Myriad Pro" w:hAnsi="Myriad Pro"/>
          <w:color w:val="000000"/>
          <w:sz w:val="22"/>
        </w:rPr>
        <w:t>CARNetovih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resursa u komercijalne svrhe;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provaljivanje na računala;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širenje virusa, trojanaca i ostalog zloćudnog softvera;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traženje sigurnosnih propusta na umreženim računalima bez dozvole vlasnika opreme;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izvršavanje napada uskraćivanjem resursa (</w:t>
      </w:r>
      <w:proofErr w:type="spellStart"/>
      <w:r w:rsidRPr="005D473B">
        <w:rPr>
          <w:rFonts w:ascii="Myriad Pro" w:hAnsi="Myriad Pro"/>
          <w:color w:val="000000"/>
          <w:sz w:val="22"/>
        </w:rPr>
        <w:t>Denial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</w:t>
      </w:r>
      <w:proofErr w:type="spellStart"/>
      <w:r w:rsidRPr="005D473B">
        <w:rPr>
          <w:rFonts w:ascii="Myriad Pro" w:hAnsi="Myriad Pro"/>
          <w:color w:val="000000"/>
          <w:sz w:val="22"/>
        </w:rPr>
        <w:t>of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Service);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korumpiranje ili uništavanje podataka drugih korisnika;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povreda privatnosti drugih korisnika;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distribuiranje lažnih podataka o mreži, pravilima rada te CARNet ustanovi i ustanovama članicama;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davanje netočnih ili zastarjelih podataka u svrhu ostvarivanja korisničkih prava;</w:t>
      </w:r>
    </w:p>
    <w:p w:rsidR="003E7AD6" w:rsidRPr="00B02F90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color w:val="000000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lastRenderedPageBreak/>
        <w:t xml:space="preserve">sve ostale aktivnosti neprihvatljivog korištenja </w:t>
      </w:r>
      <w:proofErr w:type="spellStart"/>
      <w:r w:rsidRPr="005D473B">
        <w:rPr>
          <w:rFonts w:ascii="Myriad Pro" w:hAnsi="Myriad Pro"/>
          <w:color w:val="000000"/>
          <w:sz w:val="22"/>
        </w:rPr>
        <w:t>CARNetovih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resursa koji su, i čije je korištenje propisano </w:t>
      </w:r>
      <w:proofErr w:type="spellStart"/>
      <w:r w:rsidRPr="005D473B">
        <w:rPr>
          <w:rFonts w:ascii="Myriad Pro" w:hAnsi="Myriad Pro"/>
          <w:color w:val="000000"/>
          <w:sz w:val="22"/>
        </w:rPr>
        <w:t>CARNetovim</w:t>
      </w:r>
      <w:proofErr w:type="spellEnd"/>
      <w:r w:rsidRPr="005D473B">
        <w:rPr>
          <w:rFonts w:ascii="Myriad Pro" w:hAnsi="Myriad Pro"/>
          <w:color w:val="000000"/>
          <w:sz w:val="22"/>
        </w:rPr>
        <w:t xml:space="preserve"> CDA dokumentima </w:t>
      </w:r>
      <w:r w:rsidRPr="00B02F90">
        <w:rPr>
          <w:rFonts w:ascii="Myriad Pro" w:hAnsi="Myriad Pro"/>
          <w:color w:val="000000"/>
          <w:sz w:val="22"/>
          <w:szCs w:val="22"/>
        </w:rPr>
        <w:t>(</w:t>
      </w:r>
      <w:hyperlink r:id="rId14" w:history="1">
        <w:r w:rsidR="00B02F90" w:rsidRPr="00B02F90">
          <w:rPr>
            <w:rStyle w:val="Hyperlink"/>
            <w:rFonts w:ascii="Myriad Pro" w:hAnsi="Myriad Pro"/>
            <w:color w:val="000000"/>
            <w:sz w:val="22"/>
            <w:szCs w:val="22"/>
          </w:rPr>
          <w:t>http://www.carnet.hr/o_carnetu/o_nama/dokumenti/cda_dokumenti</w:t>
        </w:r>
      </w:hyperlink>
      <w:r w:rsidRPr="00B02F90">
        <w:rPr>
          <w:rFonts w:ascii="Myriad Pro" w:hAnsi="Myriad Pro"/>
          <w:color w:val="000000"/>
          <w:sz w:val="22"/>
          <w:szCs w:val="22"/>
        </w:rPr>
        <w:t>).</w:t>
      </w:r>
    </w:p>
    <w:p w:rsidR="003E7AD6" w:rsidRPr="005D473B" w:rsidRDefault="003E7AD6" w:rsidP="002862DA">
      <w:pPr>
        <w:pStyle w:val="BodyText3"/>
        <w:spacing w:line="247" w:lineRule="auto"/>
      </w:pPr>
      <w:r w:rsidRPr="005D473B">
        <w:t xml:space="preserve">Ustanove članice </w:t>
      </w:r>
      <w:proofErr w:type="spellStart"/>
      <w:r w:rsidRPr="005D473B">
        <w:t>CARNeta</w:t>
      </w:r>
      <w:proofErr w:type="spellEnd"/>
      <w:r w:rsidRPr="005D473B">
        <w:t xml:space="preserve"> ne smiju koristiti priključak na CARNet mrežu za obavljanje komercijalnih djelatnosti, niti smiju davati vezu u podnajam trećim osobama bez suglasnosti </w:t>
      </w:r>
      <w:proofErr w:type="spellStart"/>
      <w:r w:rsidRPr="005D473B">
        <w:t>CARNeta</w:t>
      </w:r>
      <w:proofErr w:type="spellEnd"/>
      <w:r w:rsidRPr="005D473B">
        <w:t>.</w:t>
      </w:r>
    </w:p>
    <w:p w:rsidR="003E7AD6" w:rsidRPr="005D473B" w:rsidRDefault="002862DA" w:rsidP="00334B62">
      <w:pPr>
        <w:pStyle w:val="BodyText3"/>
        <w:spacing w:before="240" w:after="120"/>
        <w:rPr>
          <w:rFonts w:cs="Symbol"/>
          <w:b/>
          <w:sz w:val="26"/>
          <w:szCs w:val="26"/>
        </w:rPr>
      </w:pPr>
      <w:r w:rsidRPr="005D473B">
        <w:rPr>
          <w:rFonts w:cs="Symbol"/>
          <w:b/>
          <w:sz w:val="26"/>
          <w:szCs w:val="26"/>
        </w:rPr>
        <w:t>4</w:t>
      </w:r>
      <w:r w:rsidR="003E7AD6" w:rsidRPr="005D473B">
        <w:rPr>
          <w:rFonts w:cs="Symbol"/>
          <w:b/>
          <w:sz w:val="26"/>
          <w:szCs w:val="26"/>
        </w:rPr>
        <w:t>. Nadzor CARNet mreže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CARNet ima pravo nadzora nad načinom korištenja CARNet mreže. Ustanovama i pojedincima koji se ne ponašaju u skladu s pravilima prihvatljivog korištenja, CARNet može privremeno ili trajno uskratiti pravo korištenja mreže i njezinih servisa.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Ustanovama koje ne poduzimaju akcije prema korisnicima – sudionicima u računalnim incidentima ili onima koji neprihvatljivo koriste CARNet mrežu, CARNet može ograničiti ili uskratiti pristup CARNet mreži.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 xml:space="preserve">U slučaju težih prekršaja, povrede zakona, CARNet će prekršitelja prijaviti nadležnim organima. </w:t>
      </w:r>
    </w:p>
    <w:p w:rsidR="003E7AD6" w:rsidRPr="005D473B" w:rsidRDefault="002862DA" w:rsidP="00334B6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 w:cs="Symbol"/>
          <w:b/>
          <w:szCs w:val="26"/>
        </w:rPr>
      </w:pPr>
      <w:r w:rsidRPr="005D473B">
        <w:rPr>
          <w:rFonts w:ascii="Myriad Pro" w:hAnsi="Myriad Pro" w:cs="Symbol"/>
          <w:b/>
          <w:sz w:val="26"/>
          <w:szCs w:val="26"/>
        </w:rPr>
        <w:t>5</w:t>
      </w:r>
      <w:r w:rsidR="003E7AD6" w:rsidRPr="005D473B">
        <w:rPr>
          <w:rFonts w:ascii="Myriad Pro" w:hAnsi="Myriad Pro" w:cs="Symbol"/>
          <w:b/>
          <w:sz w:val="26"/>
          <w:szCs w:val="26"/>
        </w:rPr>
        <w:t>. Završne odredbe</w:t>
      </w:r>
    </w:p>
    <w:p w:rsidR="003E7AD6" w:rsidRDefault="003E7AD6" w:rsidP="000D60B0">
      <w:pPr>
        <w:pStyle w:val="BodyText2"/>
        <w:overflowPunct/>
        <w:spacing w:after="0"/>
        <w:rPr>
          <w:rFonts w:cs="Symbol"/>
        </w:rPr>
      </w:pPr>
      <w:r w:rsidRPr="005D473B">
        <w:rPr>
          <w:rFonts w:cs="Symbol"/>
        </w:rPr>
        <w:t>Stupanjem na snagu ove verzije dokument</w:t>
      </w:r>
      <w:r w:rsidR="00112EF7">
        <w:rPr>
          <w:rFonts w:cs="Symbol"/>
        </w:rPr>
        <w:t xml:space="preserve">a, prestaje vrijediti Verzija </w:t>
      </w:r>
      <w:r w:rsidRPr="005D473B">
        <w:rPr>
          <w:rFonts w:cs="Symbol"/>
        </w:rPr>
        <w:t>2</w:t>
      </w:r>
      <w:r w:rsidR="00112EF7">
        <w:rPr>
          <w:rFonts w:cs="Symbol"/>
        </w:rPr>
        <w:t>.0, Klasa:190-000/06</w:t>
      </w:r>
      <w:r w:rsidRPr="005D473B">
        <w:rPr>
          <w:rFonts w:cs="Symbol"/>
        </w:rPr>
        <w:t>-0</w:t>
      </w:r>
      <w:r w:rsidR="00F56224">
        <w:rPr>
          <w:rFonts w:cs="Symbol"/>
        </w:rPr>
        <w:t>1/03, Ur.br:650-61-06-02</w:t>
      </w:r>
      <w:r w:rsidRPr="005D473B">
        <w:rPr>
          <w:rFonts w:cs="Symbol"/>
        </w:rPr>
        <w:t>.</w:t>
      </w:r>
    </w:p>
    <w:sectPr w:rsidR="003E7AD6" w:rsidSect="000D2495">
      <w:headerReference w:type="default" r:id="rId15"/>
      <w:footerReference w:type="default" r:id="rId16"/>
      <w:footerReference w:type="first" r:id="rId17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1C" w:rsidRDefault="0038741C">
      <w:r>
        <w:separator/>
      </w:r>
    </w:p>
  </w:endnote>
  <w:endnote w:type="continuationSeparator" w:id="0">
    <w:p w:rsidR="0038741C" w:rsidRDefault="0038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sTT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E" w:rsidRDefault="00E7363E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 w:rsidRPr="006A51F7">
      <w:rPr>
        <w:rFonts w:ascii="Myriad Pro" w:hAnsi="Myriad Pro"/>
        <w:sz w:val="20"/>
        <w:szCs w:val="20"/>
      </w:rPr>
      <w:t>CDA0035</w:t>
    </w:r>
    <w:r>
      <w:rPr>
        <w:rFonts w:ascii="Myriad Pro" w:hAnsi="Myriad Pro"/>
        <w:sz w:val="22"/>
        <w:szCs w:val="22"/>
      </w:rPr>
      <w:tab/>
    </w:r>
    <w:r>
      <w:rPr>
        <w:rFonts w:ascii="Myriad Pro" w:hAnsi="Myriad Pro"/>
        <w:sz w:val="22"/>
        <w:szCs w:val="22"/>
      </w:rPr>
      <w:tab/>
    </w:r>
    <w:r w:rsidR="009A5177">
      <w:rPr>
        <w:rStyle w:val="PageNumber"/>
        <w:rFonts w:ascii="Myriad Pro" w:hAnsi="Myriad Pro"/>
        <w:sz w:val="20"/>
        <w:szCs w:val="20"/>
      </w:rPr>
      <w:fldChar w:fldCharType="begin"/>
    </w:r>
    <w:r>
      <w:rPr>
        <w:rStyle w:val="PageNumber"/>
        <w:rFonts w:ascii="Myriad Pro" w:hAnsi="Myriad Pro"/>
        <w:sz w:val="20"/>
        <w:szCs w:val="20"/>
      </w:rPr>
      <w:instrText xml:space="preserve"> PAGE </w:instrText>
    </w:r>
    <w:r w:rsidR="009A5177">
      <w:rPr>
        <w:rStyle w:val="PageNumber"/>
        <w:rFonts w:ascii="Myriad Pro" w:hAnsi="Myriad Pro"/>
        <w:sz w:val="20"/>
        <w:szCs w:val="20"/>
      </w:rPr>
      <w:fldChar w:fldCharType="separate"/>
    </w:r>
    <w:r w:rsidR="00DF3A57">
      <w:rPr>
        <w:rStyle w:val="PageNumber"/>
        <w:rFonts w:ascii="Myriad Pro" w:hAnsi="Myriad Pro"/>
        <w:noProof/>
        <w:sz w:val="20"/>
        <w:szCs w:val="20"/>
      </w:rPr>
      <w:t>3</w:t>
    </w:r>
    <w:r w:rsidR="009A5177">
      <w:rPr>
        <w:rStyle w:val="PageNumber"/>
        <w:rFonts w:ascii="Myriad Pro" w:hAnsi="Myriad Pro"/>
        <w:sz w:val="20"/>
        <w:szCs w:val="20"/>
      </w:rPr>
      <w:fldChar w:fldCharType="end"/>
    </w:r>
    <w:r>
      <w:rPr>
        <w:rStyle w:val="PageNumber"/>
        <w:rFonts w:ascii="Myriad Pro" w:hAnsi="Myriad Pro"/>
        <w:sz w:val="20"/>
        <w:szCs w:val="20"/>
      </w:rPr>
      <w:t xml:space="preserve"> / </w:t>
    </w:r>
    <w:r w:rsidR="009A5177">
      <w:rPr>
        <w:rStyle w:val="PageNumber"/>
        <w:rFonts w:ascii="Myriad Pro" w:hAnsi="Myriad Pro"/>
        <w:sz w:val="20"/>
        <w:szCs w:val="20"/>
      </w:rPr>
      <w:fldChar w:fldCharType="begin"/>
    </w:r>
    <w:r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="009A5177">
      <w:rPr>
        <w:rStyle w:val="PageNumber"/>
        <w:rFonts w:ascii="Myriad Pro" w:hAnsi="Myriad Pro"/>
        <w:sz w:val="20"/>
        <w:szCs w:val="20"/>
      </w:rPr>
      <w:fldChar w:fldCharType="separate"/>
    </w:r>
    <w:r w:rsidR="00DF3A57">
      <w:rPr>
        <w:rStyle w:val="PageNumber"/>
        <w:rFonts w:ascii="Myriad Pro" w:hAnsi="Myriad Pro"/>
        <w:noProof/>
        <w:sz w:val="20"/>
        <w:szCs w:val="20"/>
      </w:rPr>
      <w:t>3</w:t>
    </w:r>
    <w:r w:rsidR="009A5177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E" w:rsidRDefault="00E7363E">
    <w:pPr>
      <w:pStyle w:val="Footer"/>
      <w:tabs>
        <w:tab w:val="clear" w:pos="4536"/>
        <w:tab w:val="clear" w:pos="9072"/>
        <w:tab w:val="right" w:pos="9626"/>
      </w:tabs>
    </w:pPr>
    <w:r>
      <w:rPr>
        <w:rFonts w:ascii="Myriad Pro" w:hAnsi="Myriad Pro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1C" w:rsidRDefault="0038741C">
      <w:r>
        <w:separator/>
      </w:r>
    </w:p>
  </w:footnote>
  <w:footnote w:type="continuationSeparator" w:id="0">
    <w:p w:rsidR="0038741C" w:rsidRDefault="0038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E" w:rsidRDefault="003C11FA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</w:rPr>
      <w:drawing>
        <wp:inline distT="0" distB="0" distL="0" distR="0">
          <wp:extent cx="103822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63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5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7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0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1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2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6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E016DC"/>
    <w:multiLevelType w:val="hybridMultilevel"/>
    <w:tmpl w:val="EA8A786E"/>
    <w:lvl w:ilvl="0" w:tplc="4864A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11"/>
  </w:num>
  <w:num w:numId="16">
    <w:abstractNumId w:val="25"/>
  </w:num>
  <w:num w:numId="17">
    <w:abstractNumId w:val="16"/>
  </w:num>
  <w:num w:numId="18">
    <w:abstractNumId w:val="12"/>
  </w:num>
  <w:num w:numId="19">
    <w:abstractNumId w:val="26"/>
  </w:num>
  <w:num w:numId="20">
    <w:abstractNumId w:val="23"/>
  </w:num>
  <w:num w:numId="21">
    <w:abstractNumId w:val="20"/>
  </w:num>
  <w:num w:numId="22">
    <w:abstractNumId w:val="15"/>
  </w:num>
  <w:num w:numId="23">
    <w:abstractNumId w:val="13"/>
  </w:num>
  <w:num w:numId="24">
    <w:abstractNumId w:val="24"/>
  </w:num>
  <w:num w:numId="25">
    <w:abstractNumId w:val="21"/>
  </w:num>
  <w:num w:numId="26">
    <w:abstractNumId w:val="19"/>
  </w:num>
  <w:num w:numId="27">
    <w:abstractNumId w:val="1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C5420"/>
    <w:rsid w:val="00007A5F"/>
    <w:rsid w:val="00035DEA"/>
    <w:rsid w:val="000406F9"/>
    <w:rsid w:val="000D2495"/>
    <w:rsid w:val="000D60B0"/>
    <w:rsid w:val="00112EF7"/>
    <w:rsid w:val="001310B5"/>
    <w:rsid w:val="001A2353"/>
    <w:rsid w:val="001D0FAA"/>
    <w:rsid w:val="00206755"/>
    <w:rsid w:val="00226B37"/>
    <w:rsid w:val="0027286D"/>
    <w:rsid w:val="002862DA"/>
    <w:rsid w:val="00322E28"/>
    <w:rsid w:val="00334B62"/>
    <w:rsid w:val="00345BC2"/>
    <w:rsid w:val="0038741C"/>
    <w:rsid w:val="003B1FD8"/>
    <w:rsid w:val="003C11FA"/>
    <w:rsid w:val="003E2381"/>
    <w:rsid w:val="003E7AD6"/>
    <w:rsid w:val="00407F48"/>
    <w:rsid w:val="0043247A"/>
    <w:rsid w:val="00447A42"/>
    <w:rsid w:val="00464552"/>
    <w:rsid w:val="004B7A89"/>
    <w:rsid w:val="00527FE4"/>
    <w:rsid w:val="00563CD5"/>
    <w:rsid w:val="005A0331"/>
    <w:rsid w:val="005D473B"/>
    <w:rsid w:val="00605124"/>
    <w:rsid w:val="00611B9A"/>
    <w:rsid w:val="0067467B"/>
    <w:rsid w:val="006A0AF4"/>
    <w:rsid w:val="006A51F7"/>
    <w:rsid w:val="007A0A3B"/>
    <w:rsid w:val="007B7A85"/>
    <w:rsid w:val="00842CE6"/>
    <w:rsid w:val="008528D5"/>
    <w:rsid w:val="0086640A"/>
    <w:rsid w:val="008A18FA"/>
    <w:rsid w:val="008F090F"/>
    <w:rsid w:val="009378C9"/>
    <w:rsid w:val="00975281"/>
    <w:rsid w:val="009A5177"/>
    <w:rsid w:val="009D17B9"/>
    <w:rsid w:val="00A91CAB"/>
    <w:rsid w:val="00AD744D"/>
    <w:rsid w:val="00B02F90"/>
    <w:rsid w:val="00B17F64"/>
    <w:rsid w:val="00B214A5"/>
    <w:rsid w:val="00B54C0E"/>
    <w:rsid w:val="00BB0694"/>
    <w:rsid w:val="00C24920"/>
    <w:rsid w:val="00D90511"/>
    <w:rsid w:val="00DF3A57"/>
    <w:rsid w:val="00E567EF"/>
    <w:rsid w:val="00E7363E"/>
    <w:rsid w:val="00E961C3"/>
    <w:rsid w:val="00EB197D"/>
    <w:rsid w:val="00EF07BB"/>
    <w:rsid w:val="00EF58FF"/>
    <w:rsid w:val="00F4161B"/>
    <w:rsid w:val="00F56224"/>
    <w:rsid w:val="00F96526"/>
    <w:rsid w:val="00FC5420"/>
    <w:rsid w:val="00FD43F0"/>
    <w:rsid w:val="00FE007C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D2495"/>
    <w:pPr>
      <w:keepNext/>
      <w:widowControl w:val="0"/>
      <w:autoSpaceDE w:val="0"/>
      <w:autoSpaceDN w:val="0"/>
      <w:adjustRightInd w:val="0"/>
      <w:spacing w:before="240" w:after="360"/>
      <w:jc w:val="center"/>
      <w:outlineLvl w:val="0"/>
    </w:pPr>
    <w:rPr>
      <w:rFonts w:ascii="OfficinaSansTT" w:hAnsi="OfficinaSansT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2495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rsid w:val="000D2495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0D2495"/>
    <w:rPr>
      <w:b/>
    </w:rPr>
  </w:style>
  <w:style w:type="paragraph" w:customStyle="1" w:styleId="adresa">
    <w:name w:val="adresa"/>
    <w:basedOn w:val="Normal"/>
    <w:rsid w:val="000D2495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0D2495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paragraph" w:styleId="BodyText">
    <w:name w:val="Body Text"/>
    <w:basedOn w:val="Normal"/>
    <w:rsid w:val="000D2495"/>
    <w:pPr>
      <w:widowControl w:val="0"/>
      <w:autoSpaceDE w:val="0"/>
      <w:autoSpaceDN w:val="0"/>
      <w:adjustRightInd w:val="0"/>
    </w:pPr>
    <w:rPr>
      <w:rFonts w:ascii="Myriad Pro" w:hAnsi="Myriad Pro"/>
      <w:color w:val="000000"/>
      <w:sz w:val="22"/>
      <w:lang w:val="en-US"/>
    </w:rPr>
  </w:style>
  <w:style w:type="paragraph" w:styleId="Header">
    <w:name w:val="header"/>
    <w:basedOn w:val="Normal"/>
    <w:rsid w:val="000D24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24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2495"/>
    <w:rPr>
      <w:rFonts w:cs="Times New Roman"/>
    </w:rPr>
  </w:style>
  <w:style w:type="character" w:styleId="Strong">
    <w:name w:val="Strong"/>
    <w:basedOn w:val="DefaultParagraphFont"/>
    <w:qFormat/>
    <w:rsid w:val="000D2495"/>
    <w:rPr>
      <w:rFonts w:cs="Times New Roman"/>
      <w:b/>
      <w:bCs/>
    </w:rPr>
  </w:style>
  <w:style w:type="paragraph" w:styleId="BalloonText">
    <w:name w:val="Balloon Text"/>
    <w:basedOn w:val="Normal"/>
    <w:semiHidden/>
    <w:rsid w:val="000D2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249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D24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495"/>
    <w:rPr>
      <w:b/>
      <w:bCs/>
    </w:rPr>
  </w:style>
  <w:style w:type="paragraph" w:styleId="BodyText2">
    <w:name w:val="Body Text 2"/>
    <w:basedOn w:val="Normal"/>
    <w:rsid w:val="000D2495"/>
    <w:pPr>
      <w:widowControl w:val="0"/>
      <w:overflowPunct w:val="0"/>
      <w:autoSpaceDE w:val="0"/>
      <w:autoSpaceDN w:val="0"/>
      <w:adjustRightInd w:val="0"/>
      <w:spacing w:after="360" w:line="247" w:lineRule="auto"/>
      <w:jc w:val="both"/>
    </w:pPr>
    <w:rPr>
      <w:rFonts w:ascii="Myriad Pro" w:hAnsi="Myriad Pro"/>
      <w:sz w:val="22"/>
      <w:szCs w:val="22"/>
    </w:rPr>
  </w:style>
  <w:style w:type="paragraph" w:styleId="BodyText3">
    <w:name w:val="Body Text 3"/>
    <w:basedOn w:val="Normal"/>
    <w:rsid w:val="000D2495"/>
    <w:pPr>
      <w:widowControl w:val="0"/>
      <w:autoSpaceDE w:val="0"/>
      <w:autoSpaceDN w:val="0"/>
      <w:adjustRightInd w:val="0"/>
    </w:pPr>
    <w:rPr>
      <w:rFonts w:ascii="Myriad Pro" w:hAnsi="Myriad 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rnet.hr/pravila_ponasanja_na_internetu_internet_bonton/komunikacija_u_grup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net.hr/pravila_ponasanja_na_internetu_internet_bonton/komunikacija_pojedina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iedu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stemac.carnet.hr/node/1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35.pdf" TargetMode="External"/><Relationship Id="rId14" Type="http://schemas.openxmlformats.org/officeDocument/2006/relationships/hyperlink" Target="http://www.carnet.hr/o_carnetu/o_nama/dokumenti/cda_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740F-F92D-47C8-9F56-891140A1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6915</CharactersWithSpaces>
  <SharedDoc>false</SharedDoc>
  <HLinks>
    <vt:vector size="24" baseType="variant">
      <vt:variant>
        <vt:i4>3801171</vt:i4>
      </vt:variant>
      <vt:variant>
        <vt:i4>9</vt:i4>
      </vt:variant>
      <vt:variant>
        <vt:i4>0</vt:i4>
      </vt:variant>
      <vt:variant>
        <vt:i4>5</vt:i4>
      </vt:variant>
      <vt:variant>
        <vt:lpwstr>http://www.carnet.hr/o_carnetu/o_nama/dokumenti/cda_dokumenti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http://www.aaiedu.hr/</vt:lpwstr>
      </vt:variant>
      <vt:variant>
        <vt:lpwstr/>
      </vt:variant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http://sistemac.carnet.hr/system/files/sigurnosna_politika_ustanove.pdf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ftp://ftp.carnet.hr/pub/CARNet/docs/rules/CDA0035.pdf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creator>nglavor</dc:creator>
  <cp:lastModifiedBy>Mirela Carev</cp:lastModifiedBy>
  <cp:revision>9</cp:revision>
  <cp:lastPrinted>2009-04-24T11:35:00Z</cp:lastPrinted>
  <dcterms:created xsi:type="dcterms:W3CDTF">2009-04-24T11:21:00Z</dcterms:created>
  <dcterms:modified xsi:type="dcterms:W3CDTF">2011-02-10T10:12:00Z</dcterms:modified>
</cp:coreProperties>
</file>