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22E53" w14:textId="41CDB911" w:rsidR="00DE227E" w:rsidRPr="00595E98" w:rsidRDefault="000B7F12" w:rsidP="006E1357">
      <w:pPr>
        <w:pStyle w:val="Header"/>
        <w:jc w:val="center"/>
        <w:rPr>
          <w:rFonts w:ascii="Arial" w:hAnsi="Arial" w:cs="Arial"/>
        </w:rPr>
      </w:pPr>
      <w:bookmarkStart w:id="0" w:name="_GoBack"/>
      <w:bookmarkEnd w:id="0"/>
      <w:r>
        <w:rPr>
          <w:rFonts w:ascii="Arial" w:hAnsi="Arial" w:cs="Arial"/>
          <w:noProof/>
        </w:rPr>
        <w:drawing>
          <wp:inline distT="0" distB="0" distL="0" distR="0" wp14:anchorId="78C1FCBE" wp14:editId="31EF3B96">
            <wp:extent cx="1828800" cy="342900"/>
            <wp:effectExtent l="0" t="0" r="0" b="0"/>
            <wp:docPr id="1" name="Picture 1" descr="CARNET_LOG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NET_LOGO_SLOGAN"/>
                    <pic:cNvPicPr>
                      <a:picLocks noChangeAspect="1" noChangeArrowheads="1"/>
                    </pic:cNvPicPr>
                  </pic:nvPicPr>
                  <pic:blipFill>
                    <a:blip r:embed="rId11" cstate="hqprint">
                      <a:extLst>
                        <a:ext uri="{28A0092B-C50C-407E-A947-70E740481C1C}">
                          <a14:useLocalDpi xmlns:a14="http://schemas.microsoft.com/office/drawing/2010/main" val="0"/>
                        </a:ext>
                      </a:extLst>
                    </a:blip>
                    <a:srcRect b="38182"/>
                    <a:stretch>
                      <a:fillRect/>
                    </a:stretch>
                  </pic:blipFill>
                  <pic:spPr bwMode="auto">
                    <a:xfrm>
                      <a:off x="0" y="0"/>
                      <a:ext cx="1828800" cy="342900"/>
                    </a:xfrm>
                    <a:prstGeom prst="rect">
                      <a:avLst/>
                    </a:prstGeom>
                    <a:noFill/>
                    <a:ln>
                      <a:noFill/>
                    </a:ln>
                  </pic:spPr>
                </pic:pic>
              </a:graphicData>
            </a:graphic>
          </wp:inline>
        </w:drawing>
      </w:r>
    </w:p>
    <w:p w14:paraId="6E37E6D0" w14:textId="77777777" w:rsidR="00136F4D" w:rsidRPr="00595E98" w:rsidRDefault="00F260AF" w:rsidP="002413AD">
      <w:pPr>
        <w:widowControl w:val="0"/>
        <w:autoSpaceDE w:val="0"/>
        <w:autoSpaceDN w:val="0"/>
        <w:adjustRightInd w:val="0"/>
        <w:spacing w:before="600" w:after="120"/>
        <w:jc w:val="center"/>
        <w:rPr>
          <w:rFonts w:ascii="Arial" w:hAnsi="Arial" w:cs="Arial"/>
        </w:rPr>
      </w:pPr>
      <w:r w:rsidRPr="00595E98">
        <w:rPr>
          <w:rFonts w:ascii="Arial" w:hAnsi="Arial" w:cs="Arial"/>
          <w:b/>
          <w:bCs/>
        </w:rPr>
        <w:t>Hrvatska akademska i istraživačka mreža</w:t>
      </w:r>
      <w:r w:rsidR="00136F4D" w:rsidRPr="00595E98">
        <w:rPr>
          <w:rFonts w:ascii="Arial" w:hAnsi="Arial" w:cs="Arial"/>
          <w:b/>
          <w:bCs/>
        </w:rPr>
        <w:t xml:space="preserve"> - </w:t>
      </w:r>
      <w:r w:rsidR="00595E98">
        <w:rPr>
          <w:rFonts w:ascii="Arial" w:hAnsi="Arial" w:cs="Arial"/>
          <w:b/>
          <w:bCs/>
        </w:rPr>
        <w:t>CARNET</w:t>
      </w:r>
    </w:p>
    <w:p w14:paraId="719EB065" w14:textId="6BA9A1AD" w:rsidR="00955EE2" w:rsidRPr="00595E98" w:rsidRDefault="00136F4D" w:rsidP="002413AD">
      <w:pPr>
        <w:widowControl w:val="0"/>
        <w:autoSpaceDE w:val="0"/>
        <w:autoSpaceDN w:val="0"/>
        <w:adjustRightInd w:val="0"/>
        <w:spacing w:before="240" w:after="120"/>
        <w:jc w:val="center"/>
        <w:rPr>
          <w:rFonts w:ascii="Arial" w:hAnsi="Arial" w:cs="Arial"/>
        </w:rPr>
      </w:pPr>
      <w:r w:rsidRPr="00595E98">
        <w:rPr>
          <w:rFonts w:ascii="Arial" w:hAnsi="Arial" w:cs="Arial"/>
          <w:b/>
          <w:bCs/>
          <w:sz w:val="36"/>
          <w:szCs w:val="36"/>
        </w:rPr>
        <w:t>CDA00</w:t>
      </w:r>
      <w:r w:rsidR="00240044">
        <w:rPr>
          <w:rFonts w:ascii="Arial" w:hAnsi="Arial" w:cs="Arial"/>
          <w:b/>
          <w:bCs/>
          <w:sz w:val="36"/>
          <w:szCs w:val="36"/>
        </w:rPr>
        <w:t>6</w:t>
      </w:r>
      <w:r w:rsidR="00462714">
        <w:rPr>
          <w:rFonts w:ascii="Arial" w:hAnsi="Arial" w:cs="Arial"/>
          <w:b/>
          <w:bCs/>
          <w:sz w:val="36"/>
          <w:szCs w:val="36"/>
        </w:rPr>
        <w:t>3</w:t>
      </w:r>
    </w:p>
    <w:p w14:paraId="6FE21630" w14:textId="77777777" w:rsidR="00F260AF" w:rsidRPr="00595E98" w:rsidRDefault="00B86C0A" w:rsidP="002413AD">
      <w:pPr>
        <w:widowControl w:val="0"/>
        <w:autoSpaceDE w:val="0"/>
        <w:autoSpaceDN w:val="0"/>
        <w:adjustRightInd w:val="0"/>
        <w:spacing w:before="240" w:after="360"/>
        <w:jc w:val="center"/>
        <w:rPr>
          <w:rFonts w:ascii="Arial" w:hAnsi="Arial" w:cs="Arial"/>
          <w:b/>
          <w:sz w:val="32"/>
          <w:szCs w:val="32"/>
        </w:rPr>
      </w:pPr>
      <w:r w:rsidRPr="00B86C0A">
        <w:rPr>
          <w:rFonts w:ascii="Arial" w:hAnsi="Arial" w:cs="Arial"/>
          <w:b/>
          <w:sz w:val="32"/>
          <w:szCs w:val="32"/>
        </w:rPr>
        <w:t>Odluka o pravima i obvezama Škola i Osnivača u razdoblju održivosti projekta “e-Škole: Uspostava sustava razvoja digitalno zrelih škola (pilot projekt)”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778"/>
      </w:tblGrid>
      <w:tr w:rsidR="00955EE2" w:rsidRPr="00595E98" w14:paraId="03438AC3" w14:textId="77777777" w:rsidTr="00393881">
        <w:tc>
          <w:tcPr>
            <w:tcW w:w="4924" w:type="dxa"/>
            <w:vAlign w:val="center"/>
          </w:tcPr>
          <w:p w14:paraId="4F7A273F" w14:textId="77777777" w:rsidR="00955EE2" w:rsidRPr="00595E98" w:rsidRDefault="00955EE2" w:rsidP="00393881">
            <w:pPr>
              <w:widowControl w:val="0"/>
              <w:overflowPunct w:val="0"/>
              <w:autoSpaceDE w:val="0"/>
              <w:autoSpaceDN w:val="0"/>
              <w:adjustRightInd w:val="0"/>
              <w:spacing w:before="120" w:after="120" w:line="276" w:lineRule="auto"/>
              <w:ind w:right="261"/>
              <w:rPr>
                <w:rFonts w:ascii="Arial" w:hAnsi="Arial" w:cs="Arial"/>
                <w:b/>
                <w:sz w:val="20"/>
                <w:szCs w:val="20"/>
              </w:rPr>
            </w:pPr>
            <w:r w:rsidRPr="00595E98">
              <w:rPr>
                <w:rFonts w:ascii="Arial" w:hAnsi="Arial" w:cs="Arial"/>
                <w:b/>
                <w:sz w:val="20"/>
                <w:szCs w:val="20"/>
              </w:rPr>
              <w:t>Kategorija:</w:t>
            </w:r>
            <w:r w:rsidR="00F260AF" w:rsidRPr="00595E98">
              <w:rPr>
                <w:rFonts w:ascii="Arial" w:hAnsi="Arial" w:cs="Arial"/>
                <w:b/>
                <w:bCs/>
                <w:sz w:val="20"/>
                <w:szCs w:val="20"/>
              </w:rPr>
              <w:t xml:space="preserve"> </w:t>
            </w:r>
            <w:r w:rsidR="00FB36E9" w:rsidRPr="00595E98">
              <w:rPr>
                <w:rFonts w:ascii="Arial" w:hAnsi="Arial" w:cs="Arial"/>
                <w:b/>
                <w:bCs/>
                <w:sz w:val="20"/>
                <w:szCs w:val="20"/>
              </w:rPr>
              <w:t>ODLUKA</w:t>
            </w:r>
          </w:p>
          <w:p w14:paraId="1C4086D0" w14:textId="77777777" w:rsidR="00955EE2" w:rsidRPr="00595E98" w:rsidRDefault="00955EE2" w:rsidP="00393881">
            <w:pPr>
              <w:widowControl w:val="0"/>
              <w:overflowPunct w:val="0"/>
              <w:autoSpaceDE w:val="0"/>
              <w:autoSpaceDN w:val="0"/>
              <w:adjustRightInd w:val="0"/>
              <w:spacing w:before="120" w:after="120" w:line="276" w:lineRule="auto"/>
              <w:ind w:right="261"/>
              <w:rPr>
                <w:rFonts w:ascii="Arial" w:hAnsi="Arial" w:cs="Arial"/>
                <w:b/>
                <w:sz w:val="20"/>
                <w:szCs w:val="20"/>
              </w:rPr>
            </w:pPr>
            <w:r w:rsidRPr="00595E98">
              <w:rPr>
                <w:rFonts w:ascii="Arial" w:hAnsi="Arial" w:cs="Arial"/>
                <w:b/>
                <w:sz w:val="20"/>
                <w:szCs w:val="20"/>
              </w:rPr>
              <w:t>Trajanje:</w:t>
            </w:r>
            <w:r w:rsidR="00F260AF" w:rsidRPr="00595E98">
              <w:rPr>
                <w:rFonts w:ascii="Arial" w:hAnsi="Arial" w:cs="Arial"/>
                <w:b/>
                <w:bCs/>
              </w:rPr>
              <w:t xml:space="preserve"> </w:t>
            </w:r>
            <w:r w:rsidR="00F260AF" w:rsidRPr="00595E98">
              <w:rPr>
                <w:rFonts w:ascii="Arial" w:hAnsi="Arial" w:cs="Arial"/>
                <w:b/>
                <w:bCs/>
                <w:sz w:val="20"/>
                <w:szCs w:val="20"/>
              </w:rPr>
              <w:t>do opoziva</w:t>
            </w:r>
          </w:p>
          <w:p w14:paraId="728094C1" w14:textId="5C6C8C78" w:rsidR="00DE4485" w:rsidRPr="00595E98" w:rsidRDefault="00955EE2" w:rsidP="00393881">
            <w:pPr>
              <w:widowControl w:val="0"/>
              <w:overflowPunct w:val="0"/>
              <w:autoSpaceDE w:val="0"/>
              <w:autoSpaceDN w:val="0"/>
              <w:adjustRightInd w:val="0"/>
              <w:spacing w:before="120" w:after="120" w:line="276" w:lineRule="auto"/>
              <w:ind w:right="261"/>
              <w:rPr>
                <w:rFonts w:ascii="Arial" w:hAnsi="Arial" w:cs="Arial"/>
                <w:b/>
                <w:bCs/>
                <w:sz w:val="20"/>
                <w:szCs w:val="20"/>
              </w:rPr>
            </w:pPr>
            <w:r w:rsidRPr="00595E98">
              <w:rPr>
                <w:rFonts w:ascii="Arial" w:hAnsi="Arial" w:cs="Arial"/>
                <w:b/>
                <w:sz w:val="20"/>
                <w:szCs w:val="20"/>
              </w:rPr>
              <w:t>Verzija:</w:t>
            </w:r>
            <w:r w:rsidR="007B3135" w:rsidRPr="00595E98">
              <w:rPr>
                <w:rFonts w:ascii="Arial" w:hAnsi="Arial" w:cs="Arial"/>
                <w:b/>
                <w:sz w:val="20"/>
                <w:szCs w:val="20"/>
              </w:rPr>
              <w:t xml:space="preserve"> </w:t>
            </w:r>
            <w:r w:rsidR="00F97BE4">
              <w:rPr>
                <w:rFonts w:ascii="Arial" w:hAnsi="Arial" w:cs="Arial"/>
                <w:b/>
                <w:sz w:val="20"/>
                <w:szCs w:val="20"/>
              </w:rPr>
              <w:t>1</w:t>
            </w:r>
            <w:r w:rsidR="007B3135" w:rsidRPr="00595E98">
              <w:rPr>
                <w:rFonts w:ascii="Arial" w:hAnsi="Arial" w:cs="Arial"/>
                <w:b/>
                <w:sz w:val="20"/>
                <w:szCs w:val="20"/>
              </w:rPr>
              <w:t>.0</w:t>
            </w:r>
          </w:p>
        </w:tc>
        <w:tc>
          <w:tcPr>
            <w:tcW w:w="4918" w:type="dxa"/>
            <w:vAlign w:val="center"/>
          </w:tcPr>
          <w:p w14:paraId="49D79CFC" w14:textId="33979478" w:rsidR="00955EE2" w:rsidRPr="00595E98" w:rsidRDefault="00955EE2" w:rsidP="00393881">
            <w:pPr>
              <w:widowControl w:val="0"/>
              <w:overflowPunct w:val="0"/>
              <w:autoSpaceDE w:val="0"/>
              <w:autoSpaceDN w:val="0"/>
              <w:adjustRightInd w:val="0"/>
              <w:spacing w:before="120" w:after="120" w:line="276" w:lineRule="auto"/>
              <w:ind w:right="261"/>
              <w:jc w:val="right"/>
              <w:rPr>
                <w:rFonts w:ascii="Arial" w:hAnsi="Arial" w:cs="Arial"/>
                <w:b/>
                <w:sz w:val="20"/>
                <w:szCs w:val="20"/>
              </w:rPr>
            </w:pPr>
            <w:r w:rsidRPr="00595E98">
              <w:rPr>
                <w:rFonts w:ascii="Arial" w:hAnsi="Arial" w:cs="Arial"/>
                <w:b/>
                <w:sz w:val="20"/>
                <w:szCs w:val="20"/>
              </w:rPr>
              <w:t xml:space="preserve">Klasa: </w:t>
            </w:r>
            <w:r w:rsidR="00041DEE" w:rsidRPr="00041DEE">
              <w:rPr>
                <w:rFonts w:ascii="Arial" w:hAnsi="Arial" w:cs="Arial"/>
                <w:b/>
                <w:bCs/>
                <w:sz w:val="20"/>
                <w:szCs w:val="20"/>
              </w:rPr>
              <w:t>100-810/19/186</w:t>
            </w:r>
          </w:p>
          <w:p w14:paraId="6FAE4689" w14:textId="00BD538A" w:rsidR="00955EE2" w:rsidRPr="00595E98" w:rsidRDefault="00955EE2" w:rsidP="00393881">
            <w:pPr>
              <w:widowControl w:val="0"/>
              <w:overflowPunct w:val="0"/>
              <w:autoSpaceDE w:val="0"/>
              <w:autoSpaceDN w:val="0"/>
              <w:adjustRightInd w:val="0"/>
              <w:spacing w:before="120" w:after="120" w:line="276" w:lineRule="auto"/>
              <w:ind w:right="261"/>
              <w:jc w:val="right"/>
              <w:rPr>
                <w:rFonts w:ascii="Arial" w:hAnsi="Arial" w:cs="Arial"/>
                <w:b/>
                <w:sz w:val="20"/>
                <w:szCs w:val="20"/>
              </w:rPr>
            </w:pPr>
            <w:r w:rsidRPr="00595E98">
              <w:rPr>
                <w:rFonts w:ascii="Arial" w:hAnsi="Arial" w:cs="Arial"/>
                <w:b/>
                <w:sz w:val="20"/>
                <w:szCs w:val="20"/>
              </w:rPr>
              <w:t xml:space="preserve">Ur. broj: </w:t>
            </w:r>
            <w:r w:rsidR="00AF5334" w:rsidRPr="00AF5334">
              <w:rPr>
                <w:rFonts w:ascii="Arial" w:hAnsi="Arial" w:cs="Arial"/>
                <w:b/>
                <w:sz w:val="20"/>
                <w:szCs w:val="20"/>
              </w:rPr>
              <w:t>I53941-650-222-19-127</w:t>
            </w:r>
          </w:p>
          <w:p w14:paraId="0BD4F18E" w14:textId="4DECDB2B" w:rsidR="00955EE2" w:rsidRPr="00595E98" w:rsidRDefault="00955EE2" w:rsidP="00393881">
            <w:pPr>
              <w:widowControl w:val="0"/>
              <w:overflowPunct w:val="0"/>
              <w:autoSpaceDE w:val="0"/>
              <w:autoSpaceDN w:val="0"/>
              <w:adjustRightInd w:val="0"/>
              <w:spacing w:before="120" w:after="120" w:line="276" w:lineRule="auto"/>
              <w:ind w:right="261"/>
              <w:jc w:val="right"/>
              <w:rPr>
                <w:rFonts w:ascii="Arial" w:hAnsi="Arial" w:cs="Arial"/>
                <w:b/>
              </w:rPr>
            </w:pPr>
            <w:r w:rsidRPr="00595E98">
              <w:rPr>
                <w:rFonts w:ascii="Arial" w:hAnsi="Arial" w:cs="Arial"/>
                <w:b/>
                <w:sz w:val="20"/>
                <w:szCs w:val="20"/>
              </w:rPr>
              <w:t xml:space="preserve">Datum nastanka: </w:t>
            </w:r>
            <w:r w:rsidR="004C74E1">
              <w:rPr>
                <w:rFonts w:ascii="Arial" w:hAnsi="Arial" w:cs="Arial"/>
                <w:b/>
                <w:sz w:val="20"/>
                <w:szCs w:val="20"/>
              </w:rPr>
              <w:t>13</w:t>
            </w:r>
            <w:r w:rsidR="00F260AF" w:rsidRPr="00595E98">
              <w:rPr>
                <w:rFonts w:ascii="Arial" w:hAnsi="Arial" w:cs="Arial"/>
                <w:b/>
                <w:bCs/>
                <w:sz w:val="20"/>
                <w:szCs w:val="20"/>
              </w:rPr>
              <w:t>.</w:t>
            </w:r>
            <w:r w:rsidR="00A75F9C" w:rsidRPr="00595E98">
              <w:rPr>
                <w:rFonts w:ascii="Arial" w:hAnsi="Arial" w:cs="Arial"/>
                <w:b/>
                <w:bCs/>
                <w:sz w:val="20"/>
                <w:szCs w:val="20"/>
              </w:rPr>
              <w:t>0</w:t>
            </w:r>
            <w:r w:rsidR="007B6E89">
              <w:rPr>
                <w:rFonts w:ascii="Arial" w:hAnsi="Arial" w:cs="Arial"/>
                <w:b/>
                <w:bCs/>
                <w:sz w:val="20"/>
                <w:szCs w:val="20"/>
              </w:rPr>
              <w:t>9</w:t>
            </w:r>
            <w:r w:rsidR="00F260AF" w:rsidRPr="00595E98">
              <w:rPr>
                <w:rFonts w:ascii="Arial" w:hAnsi="Arial" w:cs="Arial"/>
                <w:b/>
                <w:bCs/>
                <w:sz w:val="20"/>
                <w:szCs w:val="20"/>
              </w:rPr>
              <w:t>.</w:t>
            </w:r>
            <w:r w:rsidR="007B6E89">
              <w:rPr>
                <w:rFonts w:ascii="Arial" w:hAnsi="Arial" w:cs="Arial"/>
                <w:b/>
                <w:bCs/>
                <w:sz w:val="20"/>
                <w:szCs w:val="20"/>
              </w:rPr>
              <w:t>2019</w:t>
            </w:r>
            <w:r w:rsidR="00F260AF" w:rsidRPr="00595E98">
              <w:rPr>
                <w:rFonts w:ascii="Arial" w:hAnsi="Arial" w:cs="Arial"/>
                <w:b/>
                <w:bCs/>
                <w:sz w:val="20"/>
                <w:szCs w:val="20"/>
              </w:rPr>
              <w:t>.</w:t>
            </w:r>
          </w:p>
        </w:tc>
      </w:tr>
      <w:tr w:rsidR="00F260AF" w:rsidRPr="00595E98" w14:paraId="17251581" w14:textId="77777777" w:rsidTr="00393881">
        <w:tc>
          <w:tcPr>
            <w:tcW w:w="9842" w:type="dxa"/>
            <w:gridSpan w:val="2"/>
            <w:vAlign w:val="center"/>
          </w:tcPr>
          <w:p w14:paraId="512F1AD4" w14:textId="5347556D" w:rsidR="00F260AF" w:rsidRPr="00595E98" w:rsidRDefault="00F260AF" w:rsidP="00393881">
            <w:pPr>
              <w:widowControl w:val="0"/>
              <w:overflowPunct w:val="0"/>
              <w:autoSpaceDE w:val="0"/>
              <w:autoSpaceDN w:val="0"/>
              <w:adjustRightInd w:val="0"/>
              <w:spacing w:before="120" w:after="120" w:line="276" w:lineRule="auto"/>
              <w:ind w:right="261"/>
              <w:jc w:val="center"/>
              <w:rPr>
                <w:rFonts w:ascii="Arial" w:hAnsi="Arial" w:cs="Arial"/>
                <w:b/>
              </w:rPr>
            </w:pPr>
            <w:r w:rsidRPr="00595E98">
              <w:rPr>
                <w:rFonts w:ascii="Arial" w:hAnsi="Arial" w:cs="Arial"/>
                <w:b/>
              </w:rPr>
              <w:t xml:space="preserve">URL: </w:t>
            </w:r>
            <w:hyperlink r:id="rId12" w:history="1">
              <w:r w:rsidR="00676A26" w:rsidRPr="003C757B">
                <w:rPr>
                  <w:rStyle w:val="Hyperlink"/>
                  <w:rFonts w:ascii="Arial" w:hAnsi="Arial" w:cs="Arial"/>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ftp://ftp.carnet.hr/pub/CARNET/docs/rules/CDA0063.pdf</w:t>
              </w:r>
            </w:hyperlink>
          </w:p>
        </w:tc>
      </w:tr>
    </w:tbl>
    <w:p w14:paraId="04B6C238" w14:textId="77777777" w:rsidR="00DE4485" w:rsidRPr="00595E98" w:rsidRDefault="00B86C0A" w:rsidP="00837C53">
      <w:pPr>
        <w:widowControl w:val="0"/>
        <w:overflowPunct w:val="0"/>
        <w:autoSpaceDE w:val="0"/>
        <w:autoSpaceDN w:val="0"/>
        <w:adjustRightInd w:val="0"/>
        <w:spacing w:before="360" w:after="120" w:line="257" w:lineRule="auto"/>
        <w:jc w:val="center"/>
        <w:rPr>
          <w:rFonts w:ascii="Arial" w:hAnsi="Arial" w:cs="Arial"/>
          <w:b/>
          <w:bCs/>
          <w:iCs/>
          <w:sz w:val="26"/>
          <w:szCs w:val="26"/>
        </w:rPr>
      </w:pPr>
      <w:r>
        <w:rPr>
          <w:rFonts w:ascii="Arial" w:hAnsi="Arial" w:cs="Arial"/>
          <w:b/>
          <w:bCs/>
          <w:iCs/>
          <w:sz w:val="26"/>
          <w:szCs w:val="26"/>
        </w:rPr>
        <w:t>Uvod</w:t>
      </w:r>
    </w:p>
    <w:p w14:paraId="72459557" w14:textId="799838DB" w:rsidR="00B86C0A" w:rsidRPr="00B86C0A" w:rsidRDefault="00B86C0A" w:rsidP="00B86C0A">
      <w:pPr>
        <w:widowControl w:val="0"/>
        <w:overflowPunct w:val="0"/>
        <w:autoSpaceDE w:val="0"/>
        <w:autoSpaceDN w:val="0"/>
        <w:adjustRightInd w:val="0"/>
        <w:spacing w:before="120" w:after="120" w:line="247" w:lineRule="auto"/>
        <w:jc w:val="both"/>
        <w:rPr>
          <w:rFonts w:ascii="Arial" w:hAnsi="Arial" w:cs="Arial"/>
          <w:sz w:val="22"/>
          <w:szCs w:val="22"/>
        </w:rPr>
      </w:pPr>
      <w:r w:rsidRPr="00B86C0A">
        <w:rPr>
          <w:rFonts w:ascii="Arial" w:hAnsi="Arial" w:cs="Arial"/>
          <w:sz w:val="22"/>
          <w:szCs w:val="22"/>
        </w:rPr>
        <w:t xml:space="preserve">Ovim Odlukom propisuju se obveze Škola i Osnivača (151 osnovna i srednja škola), koji su sudjelovali u provedbi projekta “e-Škole: Uspostava sustava razvoja digitalno zrelih škola (pilot projekt)” (dalje u tekstu: </w:t>
      </w:r>
      <w:r w:rsidR="00624964">
        <w:rPr>
          <w:rFonts w:ascii="Arial" w:hAnsi="Arial" w:cs="Arial"/>
          <w:sz w:val="22"/>
          <w:szCs w:val="22"/>
        </w:rPr>
        <w:t>P</w:t>
      </w:r>
      <w:r w:rsidRPr="00B86C0A">
        <w:rPr>
          <w:rFonts w:ascii="Arial" w:hAnsi="Arial" w:cs="Arial"/>
          <w:sz w:val="22"/>
          <w:szCs w:val="22"/>
        </w:rPr>
        <w:t xml:space="preserve">ilot projekt) za vrijeme trajanja razdoblja održivosti. Razdobljem održivosti smatra se razdoblje od 5 godina od završetka pilot projekta. Pilot projekt završio je 31.08.2018. godine. </w:t>
      </w:r>
    </w:p>
    <w:p w14:paraId="727F10E1" w14:textId="6DF85B02" w:rsidR="00B86C0A" w:rsidRPr="00B86C0A" w:rsidRDefault="00B86C0A" w:rsidP="00B86C0A">
      <w:pPr>
        <w:widowControl w:val="0"/>
        <w:overflowPunct w:val="0"/>
        <w:autoSpaceDE w:val="0"/>
        <w:autoSpaceDN w:val="0"/>
        <w:adjustRightInd w:val="0"/>
        <w:spacing w:before="120" w:after="120" w:line="247" w:lineRule="auto"/>
        <w:jc w:val="both"/>
        <w:rPr>
          <w:rFonts w:ascii="Arial" w:hAnsi="Arial" w:cs="Arial"/>
          <w:sz w:val="22"/>
          <w:szCs w:val="22"/>
        </w:rPr>
      </w:pPr>
      <w:r w:rsidRPr="00B86C0A">
        <w:rPr>
          <w:rFonts w:ascii="Arial" w:hAnsi="Arial" w:cs="Arial"/>
          <w:sz w:val="22"/>
          <w:szCs w:val="22"/>
        </w:rPr>
        <w:t>Obveze Škola i Osnivača proizlaze iz ugovora o sudjelovanju u Pilot projektu koje su Škole i Osnivači potpisali sa CARNET-om (dalje u tekstu: Ugovor o sudjelovanju projektu</w:t>
      </w:r>
      <w:r w:rsidR="00624964">
        <w:rPr>
          <w:rFonts w:ascii="Arial" w:hAnsi="Arial" w:cs="Arial"/>
          <w:sz w:val="22"/>
          <w:szCs w:val="22"/>
        </w:rPr>
        <w:t>)</w:t>
      </w:r>
      <w:r w:rsidRPr="00B86C0A">
        <w:rPr>
          <w:rFonts w:ascii="Arial" w:hAnsi="Arial" w:cs="Arial"/>
          <w:sz w:val="22"/>
          <w:szCs w:val="22"/>
        </w:rPr>
        <w:t>, kojim su preuzete obveze iz Ugovora o dodjeli bespovratnih sredstava za projekt ‘e-Škole: Uspostava sustava razvoja digitalno zrelih škola (pilot projekt)’ u okviru operativnog programa ‘Konkurentnost i kohezija 2014.-2020.’, referentne MIS oznake KK.09.1.1.01.0001 (dalje u tekstu: Ugovor o dodjeli bespovratnih sredstava).</w:t>
      </w:r>
    </w:p>
    <w:p w14:paraId="0FB785B2" w14:textId="77777777" w:rsidR="00136F4D" w:rsidRDefault="00B86C0A" w:rsidP="00B9066E">
      <w:pPr>
        <w:widowControl w:val="0"/>
        <w:numPr>
          <w:ilvl w:val="0"/>
          <w:numId w:val="30"/>
        </w:numPr>
        <w:autoSpaceDE w:val="0"/>
        <w:autoSpaceDN w:val="0"/>
        <w:adjustRightInd w:val="0"/>
        <w:spacing w:before="240" w:after="120"/>
        <w:rPr>
          <w:rFonts w:ascii="Arial" w:hAnsi="Arial" w:cs="Arial"/>
          <w:b/>
          <w:bCs/>
          <w:iCs/>
          <w:sz w:val="26"/>
          <w:szCs w:val="26"/>
        </w:rPr>
      </w:pPr>
      <w:r w:rsidRPr="00B86C0A">
        <w:rPr>
          <w:rFonts w:ascii="Arial" w:hAnsi="Arial" w:cs="Arial"/>
          <w:b/>
          <w:bCs/>
          <w:iCs/>
          <w:sz w:val="26"/>
          <w:szCs w:val="26"/>
        </w:rPr>
        <w:t>OBVEZE ŠKOLA I OSNIVAČA U RAZDOBLJU ODRŽIVOSTI PROJEKTA</w:t>
      </w:r>
    </w:p>
    <w:p w14:paraId="0E90BE2E"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Nakon završetka Pilot projekta oprema koja je dodijeljena Školi u okviru Pilot projekta prenosi se u vlasništvo Škole radi preuzimanja obveze osiguranja troškova tehničke podrške i održavanja uspostavljene infrastrukture na Školi te instalirane opreme, sukladno propisima o raspolaganju imovinom koji vrijede za proračunske korisnike. U razdoblju održivosti Pilot projekta Škola i Osnivač su dužni osiguravati potrebnu razinu funkcionalnosti opreme dobivene tijekom provedbene faze Pilot projekta.</w:t>
      </w:r>
    </w:p>
    <w:p w14:paraId="61DCAD3F"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Ovom Odlukom Škole i Osnivače se u cijelosti upoznaje sa sadržajem članaka 8., 12. i 16. Općih uvjeta Ugovora o dodjeli bespovratnih sredstava za Pilot projekt, kao i drugim obvezama CARNET-a koje proizlazi Ugovora o dodjeli bespovratnih sredstava za Pilot projekt i Ugovora o sudjelovanju u Pilot projektu. </w:t>
      </w:r>
    </w:p>
    <w:p w14:paraId="69EF2F1D"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Škole i Osnivači se obvezuju na suradnju i pružanje podrške CARNET-u prilikom ispunjavanja </w:t>
      </w:r>
      <w:r w:rsidRPr="00B9066E">
        <w:rPr>
          <w:rFonts w:ascii="Arial" w:hAnsi="Arial" w:cs="Arial"/>
          <w:sz w:val="22"/>
          <w:szCs w:val="22"/>
        </w:rPr>
        <w:lastRenderedPageBreak/>
        <w:t>ugovorenih obveza na način i pod uvjetima iz ove Odluke.</w:t>
      </w:r>
    </w:p>
    <w:p w14:paraId="17EF5496" w14:textId="070AF148"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bookmarkStart w:id="1" w:name="_Hlk1637390"/>
      <w:r w:rsidRPr="00B9066E">
        <w:rPr>
          <w:rFonts w:ascii="Arial" w:hAnsi="Arial" w:cs="Arial"/>
          <w:sz w:val="22"/>
          <w:szCs w:val="22"/>
        </w:rPr>
        <w:t>Radi lakšeg razumijevanja obveza iz Ugovor</w:t>
      </w:r>
      <w:r w:rsidR="00624964">
        <w:rPr>
          <w:rFonts w:ascii="Arial" w:hAnsi="Arial" w:cs="Arial"/>
          <w:sz w:val="22"/>
          <w:szCs w:val="22"/>
        </w:rPr>
        <w:t>a</w:t>
      </w:r>
      <w:r w:rsidRPr="00B9066E">
        <w:rPr>
          <w:rFonts w:ascii="Arial" w:hAnsi="Arial" w:cs="Arial"/>
          <w:sz w:val="22"/>
          <w:szCs w:val="22"/>
        </w:rPr>
        <w:t xml:space="preserve"> o dodjeli bespovratnih sredstava, u Prilogu 1. ove Odluke navedeni su članci temeljem kojih proizlaze obveze iz ove Odluke. </w:t>
      </w:r>
    </w:p>
    <w:bookmarkEnd w:id="1"/>
    <w:p w14:paraId="538CCB4B" w14:textId="77777777" w:rsidR="00B9066E" w:rsidRPr="00B9066E" w:rsidRDefault="00B9066E" w:rsidP="00B9066E">
      <w:pPr>
        <w:widowControl w:val="0"/>
        <w:numPr>
          <w:ilvl w:val="0"/>
          <w:numId w:val="30"/>
        </w:numPr>
        <w:autoSpaceDE w:val="0"/>
        <w:autoSpaceDN w:val="0"/>
        <w:adjustRightInd w:val="0"/>
        <w:spacing w:before="240" w:after="120"/>
        <w:rPr>
          <w:rFonts w:ascii="Arial" w:hAnsi="Arial" w:cs="Arial"/>
          <w:b/>
          <w:bCs/>
          <w:iCs/>
          <w:sz w:val="26"/>
          <w:szCs w:val="26"/>
        </w:rPr>
      </w:pPr>
      <w:r w:rsidRPr="00B9066E">
        <w:rPr>
          <w:rFonts w:ascii="Arial" w:hAnsi="Arial" w:cs="Arial"/>
          <w:b/>
          <w:bCs/>
          <w:iCs/>
          <w:sz w:val="26"/>
          <w:szCs w:val="26"/>
        </w:rPr>
        <w:t xml:space="preserve">POSTUPANJE S OPREMOM </w:t>
      </w:r>
    </w:p>
    <w:p w14:paraId="5B5FDD0D" w14:textId="68609ECA"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Osnivač i Škola se obvezuju prenesenu opremu održavati i koristiti u svrhu za koju su stečeni te sukladno opisu Pilot projekta i Ugovoru o dodjeli bespovratnih sredstava, pri čemu svrha stečenih stvari i prava i rezultati projekta moraju ostati neizmijenjeni u odnosu na namjenu definiranu Ugovorom o dodjeli bespovratnih sredstava u razdoblju od najmanje 5 godina nakon isteka provedbenog razdoblja Pilot projekta.</w:t>
      </w:r>
    </w:p>
    <w:p w14:paraId="07B02FA4"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Škola i Osnivač će izvršiti popravak opreme o vlastitom trošku, sve u svrhu omogućavanja daljnjeg korištenja uređaja u skladu s njihovom namjenom i u svrhu postupanja u skladu s ciljevima Pilot projekta. </w:t>
      </w:r>
    </w:p>
    <w:p w14:paraId="0D2059FB"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Ako se kvar/oštećenje ne može popraviti ili je pak popravak neisplativ uzimajući u obzir cijenu popravka, nabavnu vrijednost oštećenog/pokvarenog uređaja te tržišnu vrijednost novog uređaja, Škola ima obvezu u najkraćem mogućem roku izvršiti zamjenu oštećenog/pokvarenog uređaja novim uređajem identičnih tehničkih specifikacija ili boljih uz očuvanje namjene opreme i svrhe Pilot projekta. </w:t>
      </w:r>
    </w:p>
    <w:p w14:paraId="2D28BCE3"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U slučaju nabave novog uređaja umjesto popravka postojećeg, Škola je dužna sastaviti zapisnik/izvještaj s priloženim fotografijama oštećenog uređaja i opisom događaja, odnosno obrazloženjem zamjene s novim uređajem u roku od 10 dana od zamjene uređaja.</w:t>
      </w:r>
    </w:p>
    <w:p w14:paraId="0EE32DFB" w14:textId="0C240E22"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Škola nije dužna izvršiti popravak ili zamjenu novim uređajem u slučaju kada je prestanak rada uređaja posljedica njegove dotrajalosti, odnosno redovitog korištenja, sukladno uvjetima članka 8. stavka 6. Općih uvjeta Ugovora o dodjeli bespovratnih sredstava, a svrha Pilot projekta nije ugrožena prestankom rada uređaja. U tom slučaju </w:t>
      </w:r>
      <w:r w:rsidR="00022D8C">
        <w:rPr>
          <w:rFonts w:ascii="Arial" w:hAnsi="Arial" w:cs="Arial"/>
          <w:sz w:val="22"/>
          <w:szCs w:val="22"/>
        </w:rPr>
        <w:t>Škola</w:t>
      </w:r>
      <w:r w:rsidRPr="00B9066E">
        <w:rPr>
          <w:rFonts w:ascii="Arial" w:hAnsi="Arial" w:cs="Arial"/>
          <w:sz w:val="22"/>
          <w:szCs w:val="22"/>
        </w:rPr>
        <w:t xml:space="preserve"> sastavlja zapisnik/izvještaj sukladno uvjetima </w:t>
      </w:r>
      <w:r w:rsidR="00624964">
        <w:rPr>
          <w:rFonts w:ascii="Arial" w:hAnsi="Arial" w:cs="Arial"/>
          <w:sz w:val="22"/>
          <w:szCs w:val="22"/>
        </w:rPr>
        <w:t xml:space="preserve">navedenim u </w:t>
      </w:r>
      <w:r w:rsidRPr="00B9066E">
        <w:rPr>
          <w:rFonts w:ascii="Arial" w:hAnsi="Arial" w:cs="Arial"/>
          <w:sz w:val="22"/>
          <w:szCs w:val="22"/>
        </w:rPr>
        <w:t>prethodno</w:t>
      </w:r>
      <w:r w:rsidR="00624964">
        <w:rPr>
          <w:rFonts w:ascii="Arial" w:hAnsi="Arial" w:cs="Arial"/>
          <w:sz w:val="22"/>
          <w:szCs w:val="22"/>
        </w:rPr>
        <w:t>m paragrafu ove točke.</w:t>
      </w:r>
      <w:r w:rsidRPr="00B9066E">
        <w:rPr>
          <w:rFonts w:ascii="Arial" w:hAnsi="Arial" w:cs="Arial"/>
          <w:sz w:val="22"/>
          <w:szCs w:val="22"/>
        </w:rPr>
        <w:t xml:space="preserve"> </w:t>
      </w:r>
    </w:p>
    <w:p w14:paraId="3C679DAC" w14:textId="2F1F4008"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Gore navedena prava i obveze Škole primjenjuju se i na slučaj oštećenja i/ili kvara opreme nakon provedbe Pilot projekta koj</w:t>
      </w:r>
      <w:r w:rsidR="00624964">
        <w:rPr>
          <w:rFonts w:ascii="Arial" w:hAnsi="Arial" w:cs="Arial"/>
          <w:sz w:val="22"/>
          <w:szCs w:val="22"/>
        </w:rPr>
        <w:t>u</w:t>
      </w:r>
      <w:r w:rsidRPr="00B9066E">
        <w:rPr>
          <w:rFonts w:ascii="Arial" w:hAnsi="Arial" w:cs="Arial"/>
          <w:sz w:val="22"/>
          <w:szCs w:val="22"/>
        </w:rPr>
        <w:t xml:space="preserve"> ne popravlja dobavljač opreme temeljem ugovorenih jamstava, odnosno primjenjuj</w:t>
      </w:r>
      <w:r w:rsidR="00624964">
        <w:rPr>
          <w:rFonts w:ascii="Arial" w:hAnsi="Arial" w:cs="Arial"/>
          <w:sz w:val="22"/>
          <w:szCs w:val="22"/>
        </w:rPr>
        <w:t>u</w:t>
      </w:r>
      <w:r w:rsidRPr="00B9066E">
        <w:rPr>
          <w:rFonts w:ascii="Arial" w:hAnsi="Arial" w:cs="Arial"/>
          <w:sz w:val="22"/>
          <w:szCs w:val="22"/>
        </w:rPr>
        <w:t xml:space="preserve"> se i u slučajevima isteka ugovorenih jamstava.</w:t>
      </w:r>
    </w:p>
    <w:p w14:paraId="6E189EC2" w14:textId="77777777" w:rsid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U slučaju nastanka štete na opremi na kojoj je preneseno vlasništvo u razdoblju održivosti projekta, Škola i Osnivač dužni su snositi troškove popravka oštećenih uređaja.</w:t>
      </w:r>
    </w:p>
    <w:p w14:paraId="418F590F" w14:textId="77777777" w:rsidR="00B9066E" w:rsidRPr="00B9066E" w:rsidRDefault="00B9066E" w:rsidP="00B9066E">
      <w:pPr>
        <w:widowControl w:val="0"/>
        <w:numPr>
          <w:ilvl w:val="0"/>
          <w:numId w:val="30"/>
        </w:numPr>
        <w:autoSpaceDE w:val="0"/>
        <w:autoSpaceDN w:val="0"/>
        <w:adjustRightInd w:val="0"/>
        <w:spacing w:before="240" w:after="120"/>
        <w:rPr>
          <w:rFonts w:ascii="Arial" w:hAnsi="Arial" w:cs="Arial"/>
          <w:b/>
          <w:bCs/>
          <w:iCs/>
          <w:sz w:val="26"/>
          <w:szCs w:val="26"/>
        </w:rPr>
      </w:pPr>
      <w:r w:rsidRPr="00B9066E">
        <w:rPr>
          <w:rFonts w:ascii="Arial" w:hAnsi="Arial" w:cs="Arial"/>
          <w:b/>
          <w:bCs/>
          <w:iCs/>
          <w:sz w:val="26"/>
          <w:szCs w:val="26"/>
        </w:rPr>
        <w:t>TEHNIČKA PODRŠKA</w:t>
      </w:r>
    </w:p>
    <w:p w14:paraId="33587389" w14:textId="5CE83FB5"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Ugovorom o sudjelovanju u projektu, Osnivač se obvezao nakon završetka pilot projekta osigurati:</w:t>
      </w:r>
    </w:p>
    <w:p w14:paraId="63551580" w14:textId="77777777" w:rsidR="00B9066E" w:rsidRPr="00B9066E" w:rsidRDefault="00B9066E" w:rsidP="00624964">
      <w:pPr>
        <w:widowControl w:val="0"/>
        <w:numPr>
          <w:ilvl w:val="0"/>
          <w:numId w:val="31"/>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 xml:space="preserve">održavanje (npr. u slučaju kvara) lokalne mreže i računalne opreme i </w:t>
      </w:r>
    </w:p>
    <w:p w14:paraId="5226BB52" w14:textId="77777777" w:rsidR="00B9066E" w:rsidRPr="00B9066E" w:rsidRDefault="00B9066E" w:rsidP="00624964">
      <w:pPr>
        <w:widowControl w:val="0"/>
        <w:numPr>
          <w:ilvl w:val="0"/>
          <w:numId w:val="31"/>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pomoć školama u korištenju resursa dobivenih u projektu (imenovanje e-Škole tehničara).</w:t>
      </w:r>
    </w:p>
    <w:p w14:paraId="32ED213D"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Uloga e-Škole tehničara jest da zaposlenicima škola pruža pomoć pri korištenju lokalne mreže škole i računalne opreme. CARNET je Osnivačima predložio modele organizacije podrške školama odnosno moguće načine imenovanja e-Škole tehničara. </w:t>
      </w:r>
    </w:p>
    <w:p w14:paraId="4E2102F1" w14:textId="5286D8DD" w:rsid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U slučaju promjene e-Škole tehničara, a sukladno Ugovoru o sudjelovanju u projektu, Osnivač je dužan dostaviti CARNET-u obrazac za imenovanje e-Škole tehničara.</w:t>
      </w:r>
    </w:p>
    <w:p w14:paraId="637AB2F6" w14:textId="77777777" w:rsidR="00B9066E" w:rsidRPr="00B9066E" w:rsidRDefault="00B9066E" w:rsidP="00B9066E">
      <w:pPr>
        <w:widowControl w:val="0"/>
        <w:numPr>
          <w:ilvl w:val="0"/>
          <w:numId w:val="30"/>
        </w:numPr>
        <w:autoSpaceDE w:val="0"/>
        <w:autoSpaceDN w:val="0"/>
        <w:adjustRightInd w:val="0"/>
        <w:spacing w:before="240" w:after="120"/>
        <w:rPr>
          <w:rFonts w:ascii="Arial" w:hAnsi="Arial" w:cs="Arial"/>
          <w:b/>
          <w:bCs/>
          <w:iCs/>
          <w:sz w:val="26"/>
          <w:szCs w:val="26"/>
        </w:rPr>
      </w:pPr>
      <w:r>
        <w:rPr>
          <w:rFonts w:ascii="Arial" w:hAnsi="Arial" w:cs="Arial"/>
          <w:b/>
          <w:bCs/>
          <w:iCs/>
          <w:sz w:val="26"/>
          <w:szCs w:val="26"/>
        </w:rPr>
        <w:lastRenderedPageBreak/>
        <w:t>JAMSTVA</w:t>
      </w:r>
    </w:p>
    <w:p w14:paraId="75307848"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Za opremu isporučenu u Pilot projektu, temeljem sklopljenih ugovora o javnoj nabavi, CARNET je osigurao sljedeća jamstva:</w:t>
      </w:r>
    </w:p>
    <w:p w14:paraId="5F835817" w14:textId="77777777" w:rsidR="00B9066E" w:rsidRPr="00B9066E" w:rsidRDefault="00B9066E" w:rsidP="00624964">
      <w:pPr>
        <w:widowControl w:val="0"/>
        <w:numPr>
          <w:ilvl w:val="0"/>
          <w:numId w:val="33"/>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 xml:space="preserve">jamstvo na sustav strukturnog kabliranja - vrijedi 25 godina od dana implementacije kabela; </w:t>
      </w:r>
    </w:p>
    <w:p w14:paraId="4CD766F6" w14:textId="77777777" w:rsidR="00B9066E" w:rsidRPr="00B9066E" w:rsidRDefault="00B9066E" w:rsidP="00624964">
      <w:pPr>
        <w:widowControl w:val="0"/>
        <w:numPr>
          <w:ilvl w:val="0"/>
          <w:numId w:val="33"/>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jamstvo za aktivnu mrežnu opremu i licence - vrijedi 5 godina od dana isporuke;</w:t>
      </w:r>
    </w:p>
    <w:p w14:paraId="7E95C7D3" w14:textId="1A3A700D" w:rsidR="00B9066E" w:rsidRPr="00B9066E" w:rsidRDefault="00B9066E" w:rsidP="00624964">
      <w:pPr>
        <w:widowControl w:val="0"/>
        <w:numPr>
          <w:ilvl w:val="0"/>
          <w:numId w:val="33"/>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jamstvo za računalnu opremu za prvih 20 škola u pilot projektu - vrijedi 60 mjeseci od dana isporuke, dok za preostal</w:t>
      </w:r>
      <w:r w:rsidR="004B1C22">
        <w:rPr>
          <w:rFonts w:ascii="Arial" w:hAnsi="Arial" w:cs="Arial"/>
          <w:sz w:val="22"/>
          <w:szCs w:val="22"/>
        </w:rPr>
        <w:t>u</w:t>
      </w:r>
      <w:r w:rsidRPr="00B9066E">
        <w:rPr>
          <w:rFonts w:ascii="Arial" w:hAnsi="Arial" w:cs="Arial"/>
          <w:sz w:val="22"/>
          <w:szCs w:val="22"/>
        </w:rPr>
        <w:t xml:space="preserve"> 131 škol</w:t>
      </w:r>
      <w:r w:rsidR="004B1C22">
        <w:rPr>
          <w:rFonts w:ascii="Arial" w:hAnsi="Arial" w:cs="Arial"/>
          <w:sz w:val="22"/>
          <w:szCs w:val="22"/>
        </w:rPr>
        <w:t>u</w:t>
      </w:r>
      <w:r w:rsidRPr="00B9066E">
        <w:rPr>
          <w:rFonts w:ascii="Arial" w:hAnsi="Arial" w:cs="Arial"/>
          <w:sz w:val="22"/>
          <w:szCs w:val="22"/>
        </w:rPr>
        <w:t xml:space="preserve"> jamstvo na računalnu oprem</w:t>
      </w:r>
      <w:r w:rsidR="00413E46">
        <w:rPr>
          <w:rFonts w:ascii="Arial" w:hAnsi="Arial" w:cs="Arial"/>
          <w:sz w:val="22"/>
          <w:szCs w:val="22"/>
        </w:rPr>
        <w:t>u</w:t>
      </w:r>
      <w:r w:rsidRPr="00B9066E">
        <w:rPr>
          <w:rFonts w:ascii="Arial" w:hAnsi="Arial" w:cs="Arial"/>
          <w:sz w:val="22"/>
          <w:szCs w:val="22"/>
        </w:rPr>
        <w:t xml:space="preserve"> - vrijedi 37 mjeseci od dana isporuke.</w:t>
      </w:r>
    </w:p>
    <w:p w14:paraId="531FEF66"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Datum početnih rokova za gore navedena jamstva, CARNET će na zahtjev dostaviti školi ili Osnivaču. </w:t>
      </w:r>
    </w:p>
    <w:p w14:paraId="0B2FFEBD" w14:textId="61140456"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U jamstvenim rokovima dobavljač opreme dužan je održavati cjelokupan sustav i pružati podršku korisnicima, </w:t>
      </w:r>
      <w:r w:rsidR="00624964">
        <w:rPr>
          <w:rFonts w:ascii="Arial" w:hAnsi="Arial" w:cs="Arial"/>
          <w:sz w:val="22"/>
          <w:szCs w:val="22"/>
        </w:rPr>
        <w:t>a</w:t>
      </w:r>
      <w:r w:rsidR="00624964" w:rsidRPr="00B9066E">
        <w:rPr>
          <w:rFonts w:ascii="Arial" w:hAnsi="Arial" w:cs="Arial"/>
          <w:sz w:val="22"/>
          <w:szCs w:val="22"/>
        </w:rPr>
        <w:t xml:space="preserve"> </w:t>
      </w:r>
      <w:r w:rsidRPr="00B9066E">
        <w:rPr>
          <w:rFonts w:ascii="Arial" w:hAnsi="Arial" w:cs="Arial"/>
          <w:sz w:val="22"/>
          <w:szCs w:val="22"/>
        </w:rPr>
        <w:t>Škole (e-Škole tehničar) u tu svrhu na raspolaganju imaju helpdesk</w:t>
      </w:r>
      <w:r w:rsidR="00C67369">
        <w:rPr>
          <w:rFonts w:ascii="Arial" w:hAnsi="Arial" w:cs="Arial"/>
          <w:sz w:val="22"/>
          <w:szCs w:val="22"/>
        </w:rPr>
        <w:t xml:space="preserve"> dobavljača</w:t>
      </w:r>
      <w:r w:rsidRPr="00B9066E">
        <w:rPr>
          <w:rFonts w:ascii="Arial" w:hAnsi="Arial" w:cs="Arial"/>
          <w:sz w:val="22"/>
          <w:szCs w:val="22"/>
        </w:rPr>
        <w:t>.</w:t>
      </w:r>
    </w:p>
    <w:p w14:paraId="4B4C549A" w14:textId="77777777" w:rsidR="00136F4D" w:rsidRPr="00B9066E" w:rsidRDefault="00B9066E" w:rsidP="00B9066E">
      <w:pPr>
        <w:widowControl w:val="0"/>
        <w:numPr>
          <w:ilvl w:val="0"/>
          <w:numId w:val="30"/>
        </w:numPr>
        <w:autoSpaceDE w:val="0"/>
        <w:autoSpaceDN w:val="0"/>
        <w:adjustRightInd w:val="0"/>
        <w:spacing w:before="240" w:after="120"/>
        <w:rPr>
          <w:rFonts w:ascii="Arial" w:hAnsi="Arial" w:cs="Arial"/>
          <w:b/>
          <w:bCs/>
          <w:iCs/>
          <w:sz w:val="26"/>
          <w:szCs w:val="26"/>
        </w:rPr>
      </w:pPr>
      <w:r w:rsidRPr="00B9066E">
        <w:rPr>
          <w:rFonts w:ascii="Arial" w:hAnsi="Arial" w:cs="Arial"/>
          <w:b/>
          <w:bCs/>
          <w:iCs/>
          <w:sz w:val="26"/>
          <w:szCs w:val="26"/>
        </w:rPr>
        <w:t>IZVJEŠTAVANJE I PRAĆENJE</w:t>
      </w:r>
    </w:p>
    <w:p w14:paraId="4A567DC6"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Škola i Osnivač dužni su izvještavati CARNET o stanju i broju opreme putem Izvješća o statusu provedbe projekta (dalje u tekstu: Izvješće).</w:t>
      </w:r>
    </w:p>
    <w:p w14:paraId="7323E8FF" w14:textId="57F73C05"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Podnesena Izvješća CARNET koristi u svrhu daljnjeg izvještavanja prema nadležnim tijelima radi utvrđivanja održivosti i trajnosti rezultata Pilot projekta. U skladu s člankom 12. Općih uvjeta Ugovora o dodjeli bespovratnih sredstava, s obzirom na datum okončanja provedbe projekta, CARNET je dužan izvješće dostaviti do 30. rujna svake naredne godine. </w:t>
      </w:r>
    </w:p>
    <w:p w14:paraId="43AE7732"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Škola ili Osnivač dužni su izvješće podnositi jednom godišnje u razdoblju od pet godina od završetka provedbe Pilot projekta i to do 31. kolovoza svake godine tijekom razdoblja održivosti.</w:t>
      </w:r>
    </w:p>
    <w:p w14:paraId="171F9D0C" w14:textId="42C6716B"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 xml:space="preserve">Izvješće treba sadržavati informacije o promjenama koje su nastupile korištenjem uređaja u razdoblju održivosti (koji je uređaj i zbog čega zamijenjen (navodeći modele i serijske brojeve uređaja), kojim uređajem je zamijenjen, koristi li se dodijeljena oprema i dalje u istu svrhu te o bilo kakvim odstupanjima u korištenju opreme i drugih rezultata Pilot projekta. </w:t>
      </w:r>
    </w:p>
    <w:p w14:paraId="32D88DB5" w14:textId="51F9FB66"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Sukladno članku 16.5. Općih uvjeta Ugovora o dodjeli bespovratnih sredstava CARNET kao Korisnik mora surađivati s nacionalnim i europskim institucijama i tijelima koja vrše revizije i provjere povezane s Pilot projektom, te mora osigurati navedenim institucijama dostupnost svih dokumenata, podataka i evidencija povezanih s Pilot projektom ili potrebnih za potvrdu ispravnosti projekta i projektnih izdataka te osigurati pristup svim prostorijama i mjestima u kojima se projekt provodi, isporučevinama, rezultatima i neposrednim rezultatima projekta, u razdoblju od pet godina nakon zatvaranja operativnog programa.</w:t>
      </w:r>
    </w:p>
    <w:p w14:paraId="38C12302" w14:textId="7E2E569C"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Shodno tome, Škola i Osnivač su dužni surađivati s CARNET-om u svrhu izvršavanja obveza iz članka 16. Općih uvjeta Ugovora o dodjeli bespovratnih sredstava, a vezano za provjere koje se odnose na opremu koja im je prenesena u vlasništvo, te u slučaju provjera od strane ovlaštenih institucija omogućiti dostupnost sukladno zahtjevima članka 16.5. Općih uvjeta, u razdoblju od pet godina nakon zatvaranja operativnog programa.</w:t>
      </w:r>
    </w:p>
    <w:p w14:paraId="6468DDCA" w14:textId="52BDA7B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U slučaju provjera iz članka 16. Općih uvjeta Ugovora o dodjeli bespovratnih sredstava za, Škola i Osnivač dužni su omogućiti provođenje predmetnih provjera sukladno uvjetima članka 16. Općih uvjeta te u tu svrhu posebice:</w:t>
      </w:r>
    </w:p>
    <w:p w14:paraId="261174F6" w14:textId="77777777" w:rsidR="00B9066E" w:rsidRPr="00B9066E" w:rsidRDefault="00B9066E" w:rsidP="00624964">
      <w:pPr>
        <w:widowControl w:val="0"/>
        <w:numPr>
          <w:ilvl w:val="0"/>
          <w:numId w:val="34"/>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omogućiti pristup opremi koja je predmet provjere te njezin pregled;</w:t>
      </w:r>
    </w:p>
    <w:p w14:paraId="06C0CE66" w14:textId="77777777" w:rsidR="00B9066E" w:rsidRPr="00B9066E" w:rsidRDefault="00B9066E" w:rsidP="00624964">
      <w:pPr>
        <w:widowControl w:val="0"/>
        <w:numPr>
          <w:ilvl w:val="0"/>
          <w:numId w:val="34"/>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lastRenderedPageBreak/>
        <w:t>omogućiti pristup svoj dokumentaciji i svim podacima te evidencijama koji se odnose na opremu, a u posjedu su Škole, uključivo pristup informacijskom sustavu;</w:t>
      </w:r>
    </w:p>
    <w:p w14:paraId="2DBAC80B" w14:textId="77777777" w:rsidR="00B9066E" w:rsidRPr="00B9066E" w:rsidRDefault="00B9066E" w:rsidP="00624964">
      <w:pPr>
        <w:widowControl w:val="0"/>
        <w:numPr>
          <w:ilvl w:val="0"/>
          <w:numId w:val="34"/>
        </w:numPr>
        <w:overflowPunct w:val="0"/>
        <w:autoSpaceDE w:val="0"/>
        <w:autoSpaceDN w:val="0"/>
        <w:adjustRightInd w:val="0"/>
        <w:spacing w:before="60" w:after="60" w:line="247" w:lineRule="auto"/>
        <w:ind w:left="714" w:hanging="357"/>
        <w:jc w:val="both"/>
        <w:rPr>
          <w:rFonts w:ascii="Arial" w:hAnsi="Arial" w:cs="Arial"/>
          <w:sz w:val="22"/>
          <w:szCs w:val="22"/>
        </w:rPr>
      </w:pPr>
      <w:r w:rsidRPr="00B9066E">
        <w:rPr>
          <w:rFonts w:ascii="Arial" w:hAnsi="Arial" w:cs="Arial"/>
          <w:sz w:val="22"/>
          <w:szCs w:val="22"/>
        </w:rPr>
        <w:t>surađivati s CARNET-om i/ili tijelom koje provodi provjeru te poduzeti sve potrebne korake kako bi se olakšao rad provoditelja provjere, što uključuje, ali nije ograničeno na pravodobnu dostavu svih zatraženih informacija i dokumenata koje su u posjedu Škole.</w:t>
      </w:r>
    </w:p>
    <w:p w14:paraId="71990F2E" w14:textId="77777777" w:rsidR="00B9066E" w:rsidRPr="00B9066E" w:rsidRDefault="00B9066E" w:rsidP="00B9066E">
      <w:pPr>
        <w:widowControl w:val="0"/>
        <w:overflowPunct w:val="0"/>
        <w:autoSpaceDE w:val="0"/>
        <w:autoSpaceDN w:val="0"/>
        <w:adjustRightInd w:val="0"/>
        <w:spacing w:before="120" w:after="120" w:line="247" w:lineRule="auto"/>
        <w:jc w:val="both"/>
        <w:rPr>
          <w:rFonts w:ascii="Arial" w:hAnsi="Arial" w:cs="Arial"/>
          <w:sz w:val="22"/>
          <w:szCs w:val="22"/>
        </w:rPr>
      </w:pPr>
      <w:r w:rsidRPr="00B9066E">
        <w:rPr>
          <w:rFonts w:ascii="Arial" w:hAnsi="Arial" w:cs="Arial"/>
          <w:sz w:val="22"/>
          <w:szCs w:val="22"/>
        </w:rPr>
        <w:t>Škola i Osnivač dužni su pohraniti i čuvati svu dokumentaciju koja se nalazi u njihovom posjedu, a vezana je uz prenesenu opremu, najmanje tijekom razdoblja u kojem se mogu provoditi provjere.</w:t>
      </w:r>
    </w:p>
    <w:p w14:paraId="17E858F7" w14:textId="77777777" w:rsidR="00B9066E" w:rsidRPr="00B9066E" w:rsidRDefault="00B9066E" w:rsidP="00B9066E">
      <w:pPr>
        <w:widowControl w:val="0"/>
        <w:autoSpaceDE w:val="0"/>
        <w:autoSpaceDN w:val="0"/>
        <w:adjustRightInd w:val="0"/>
        <w:spacing w:before="240" w:after="120"/>
        <w:ind w:left="11"/>
        <w:rPr>
          <w:rFonts w:ascii="Arial" w:hAnsi="Arial" w:cs="Arial"/>
          <w:sz w:val="22"/>
          <w:szCs w:val="22"/>
        </w:rPr>
      </w:pPr>
    </w:p>
    <w:p w14:paraId="47A9BBF2" w14:textId="77777777" w:rsidR="004126F0" w:rsidRPr="000B7F12" w:rsidRDefault="00B9066E" w:rsidP="000B7F12">
      <w:pPr>
        <w:widowControl w:val="0"/>
        <w:numPr>
          <w:ilvl w:val="0"/>
          <w:numId w:val="30"/>
        </w:numPr>
        <w:autoSpaceDE w:val="0"/>
        <w:autoSpaceDN w:val="0"/>
        <w:adjustRightInd w:val="0"/>
        <w:spacing w:before="240" w:after="120"/>
        <w:rPr>
          <w:rFonts w:ascii="Arial" w:hAnsi="Arial" w:cs="Arial"/>
          <w:b/>
          <w:bCs/>
          <w:iCs/>
          <w:sz w:val="26"/>
          <w:szCs w:val="26"/>
        </w:rPr>
      </w:pPr>
      <w:r w:rsidRPr="000B7F12">
        <w:rPr>
          <w:rFonts w:ascii="Arial" w:hAnsi="Arial" w:cs="Arial"/>
          <w:b/>
          <w:bCs/>
          <w:iCs/>
          <w:sz w:val="26"/>
          <w:szCs w:val="26"/>
        </w:rPr>
        <w:t>ZAVRŠNE ODREDBE</w:t>
      </w:r>
    </w:p>
    <w:p w14:paraId="559BFFF0" w14:textId="55CFEB8F" w:rsidR="000B7F12" w:rsidRPr="000B7F12" w:rsidRDefault="000B7F12" w:rsidP="000B7F12">
      <w:pPr>
        <w:widowControl w:val="0"/>
        <w:overflowPunct w:val="0"/>
        <w:autoSpaceDE w:val="0"/>
        <w:autoSpaceDN w:val="0"/>
        <w:adjustRightInd w:val="0"/>
        <w:spacing w:before="120" w:after="120" w:line="247" w:lineRule="auto"/>
        <w:jc w:val="both"/>
        <w:rPr>
          <w:rFonts w:ascii="Arial" w:hAnsi="Arial" w:cs="Arial"/>
          <w:sz w:val="22"/>
          <w:szCs w:val="22"/>
        </w:rPr>
      </w:pPr>
      <w:r w:rsidRPr="000B7F12">
        <w:rPr>
          <w:rFonts w:ascii="Arial" w:hAnsi="Arial" w:cs="Arial"/>
          <w:sz w:val="22"/>
          <w:szCs w:val="22"/>
        </w:rPr>
        <w:t>Temeljem sklopljen</w:t>
      </w:r>
      <w:r>
        <w:rPr>
          <w:rFonts w:ascii="Arial" w:hAnsi="Arial" w:cs="Arial"/>
          <w:sz w:val="22"/>
          <w:szCs w:val="22"/>
        </w:rPr>
        <w:t xml:space="preserve">og tripartitnog Ugovora o sudjelovanju u projektu </w:t>
      </w:r>
      <w:r w:rsidRPr="000B7F12">
        <w:rPr>
          <w:rFonts w:ascii="Arial" w:hAnsi="Arial" w:cs="Arial"/>
          <w:sz w:val="22"/>
          <w:szCs w:val="22"/>
        </w:rPr>
        <w:t>koj</w:t>
      </w:r>
      <w:r>
        <w:rPr>
          <w:rFonts w:ascii="Arial" w:hAnsi="Arial" w:cs="Arial"/>
          <w:sz w:val="22"/>
          <w:szCs w:val="22"/>
        </w:rPr>
        <w:t>e</w:t>
      </w:r>
      <w:r w:rsidRPr="000B7F12">
        <w:rPr>
          <w:rFonts w:ascii="Arial" w:hAnsi="Arial" w:cs="Arial"/>
          <w:sz w:val="22"/>
          <w:szCs w:val="22"/>
        </w:rPr>
        <w:t xml:space="preserve"> su </w:t>
      </w:r>
      <w:r w:rsidR="00624964">
        <w:rPr>
          <w:rFonts w:ascii="Arial" w:hAnsi="Arial" w:cs="Arial"/>
          <w:sz w:val="22"/>
          <w:szCs w:val="22"/>
        </w:rPr>
        <w:t>Š</w:t>
      </w:r>
      <w:r w:rsidRPr="000B7F12">
        <w:rPr>
          <w:rFonts w:ascii="Arial" w:hAnsi="Arial" w:cs="Arial"/>
          <w:sz w:val="22"/>
          <w:szCs w:val="22"/>
        </w:rPr>
        <w:t xml:space="preserve">kole </w:t>
      </w:r>
      <w:r>
        <w:rPr>
          <w:rFonts w:ascii="Arial" w:hAnsi="Arial" w:cs="Arial"/>
          <w:sz w:val="22"/>
          <w:szCs w:val="22"/>
        </w:rPr>
        <w:t xml:space="preserve">i </w:t>
      </w:r>
      <w:r w:rsidR="00624964">
        <w:rPr>
          <w:rFonts w:ascii="Arial" w:hAnsi="Arial" w:cs="Arial"/>
          <w:sz w:val="22"/>
          <w:szCs w:val="22"/>
        </w:rPr>
        <w:t>O</w:t>
      </w:r>
      <w:r>
        <w:rPr>
          <w:rFonts w:ascii="Arial" w:hAnsi="Arial" w:cs="Arial"/>
          <w:sz w:val="22"/>
          <w:szCs w:val="22"/>
        </w:rPr>
        <w:t xml:space="preserve">snivači škola </w:t>
      </w:r>
      <w:r w:rsidRPr="000B7F12">
        <w:rPr>
          <w:rFonts w:ascii="Arial" w:hAnsi="Arial" w:cs="Arial"/>
          <w:sz w:val="22"/>
          <w:szCs w:val="22"/>
        </w:rPr>
        <w:t>sklopi</w:t>
      </w:r>
      <w:r>
        <w:rPr>
          <w:rFonts w:ascii="Arial" w:hAnsi="Arial" w:cs="Arial"/>
          <w:sz w:val="22"/>
          <w:szCs w:val="22"/>
        </w:rPr>
        <w:t>li</w:t>
      </w:r>
      <w:r w:rsidRPr="000B7F12">
        <w:rPr>
          <w:rFonts w:ascii="Arial" w:hAnsi="Arial" w:cs="Arial"/>
          <w:sz w:val="22"/>
          <w:szCs w:val="22"/>
        </w:rPr>
        <w:t xml:space="preserve"> s CARNET-om, škole su suglasno pristale na odredbu koja glasi: “CARNET ima pravo donositi odluke i preporuke u vidu pisanih naputaka koje službeno objavljuje na poveznici: </w:t>
      </w:r>
      <w:hyperlink r:id="rId13" w:history="1">
        <w:r w:rsidRPr="00ED1E99">
          <w:rPr>
            <w:rStyle w:val="Hyperlink"/>
            <w:rFonts w:ascii="Arial" w:hAnsi="Arial" w:cs="Arial"/>
            <w:color w:val="4472C4" w:themeColor="accent1"/>
            <w:sz w:val="22"/>
            <w:szCs w:val="22"/>
          </w:rPr>
          <w:t>https://www.carnet.hr/dokumenti/</w:t>
        </w:r>
      </w:hyperlink>
      <w:r w:rsidR="0043707D">
        <w:rPr>
          <w:rFonts w:ascii="Arial" w:hAnsi="Arial" w:cs="Arial"/>
          <w:sz w:val="22"/>
          <w:szCs w:val="22"/>
        </w:rPr>
        <w:t xml:space="preserve">, </w:t>
      </w:r>
      <w:r w:rsidRPr="000B7F12">
        <w:rPr>
          <w:rFonts w:ascii="Arial" w:hAnsi="Arial" w:cs="Arial"/>
          <w:sz w:val="22"/>
          <w:szCs w:val="22"/>
        </w:rPr>
        <w:t>iz koje proizlazi obveza poštivanja svih prava i obveza iz ovog dokumenta.</w:t>
      </w:r>
    </w:p>
    <w:p w14:paraId="5CB68FE6" w14:textId="77777777" w:rsidR="00B9066E" w:rsidRDefault="00B9066E" w:rsidP="000B7F12">
      <w:pPr>
        <w:widowControl w:val="0"/>
        <w:autoSpaceDE w:val="0"/>
        <w:autoSpaceDN w:val="0"/>
        <w:adjustRightInd w:val="0"/>
        <w:spacing w:before="240" w:after="120"/>
        <w:rPr>
          <w:rFonts w:ascii="Arial" w:hAnsi="Arial" w:cs="Arial"/>
          <w:sz w:val="26"/>
          <w:szCs w:val="26"/>
        </w:rPr>
      </w:pPr>
    </w:p>
    <w:p w14:paraId="62BB521B" w14:textId="77777777" w:rsidR="00B9066E" w:rsidRDefault="00B9066E" w:rsidP="006C5D91">
      <w:pPr>
        <w:widowControl w:val="0"/>
        <w:autoSpaceDE w:val="0"/>
        <w:autoSpaceDN w:val="0"/>
        <w:adjustRightInd w:val="0"/>
        <w:spacing w:before="240" w:after="120"/>
        <w:ind w:left="11"/>
        <w:rPr>
          <w:rFonts w:ascii="Arial" w:hAnsi="Arial" w:cs="Arial"/>
          <w:sz w:val="26"/>
          <w:szCs w:val="26"/>
        </w:rPr>
      </w:pPr>
      <w:r>
        <w:rPr>
          <w:rFonts w:ascii="Arial" w:hAnsi="Arial" w:cs="Arial"/>
          <w:sz w:val="26"/>
          <w:szCs w:val="26"/>
        </w:rPr>
        <w:br/>
      </w:r>
    </w:p>
    <w:p w14:paraId="4749B0B2" w14:textId="77777777" w:rsidR="0021283E" w:rsidRDefault="00B9066E" w:rsidP="00B9066E">
      <w:pPr>
        <w:widowControl w:val="0"/>
        <w:autoSpaceDE w:val="0"/>
        <w:autoSpaceDN w:val="0"/>
        <w:adjustRightInd w:val="0"/>
        <w:spacing w:before="240" w:after="120"/>
        <w:ind w:left="11"/>
        <w:rPr>
          <w:rFonts w:ascii="Arial" w:hAnsi="Arial" w:cs="Arial"/>
          <w:b/>
          <w:sz w:val="22"/>
          <w:szCs w:val="22"/>
        </w:rPr>
      </w:pPr>
      <w:r>
        <w:rPr>
          <w:rFonts w:ascii="Arial" w:hAnsi="Arial" w:cs="Arial"/>
          <w:sz w:val="26"/>
          <w:szCs w:val="26"/>
        </w:rPr>
        <w:br w:type="page"/>
      </w:r>
      <w:r w:rsidRPr="00A5737A">
        <w:rPr>
          <w:rFonts w:ascii="Arial" w:hAnsi="Arial" w:cs="Arial"/>
          <w:b/>
          <w:sz w:val="22"/>
          <w:szCs w:val="22"/>
        </w:rPr>
        <w:lastRenderedPageBreak/>
        <w:t xml:space="preserve">PRILOG 1 </w:t>
      </w:r>
    </w:p>
    <w:p w14:paraId="710C832A" w14:textId="77777777" w:rsidR="0021283E" w:rsidRPr="0021283E" w:rsidRDefault="0021283E" w:rsidP="0021283E">
      <w:pPr>
        <w:jc w:val="both"/>
        <w:rPr>
          <w:rFonts w:ascii="Arial" w:eastAsia="Roboto" w:hAnsi="Arial" w:cs="Arial"/>
          <w:color w:val="333333"/>
          <w:sz w:val="22"/>
          <w:szCs w:val="22"/>
        </w:rPr>
      </w:pPr>
      <w:r w:rsidRPr="0021283E">
        <w:rPr>
          <w:rFonts w:ascii="Arial" w:eastAsia="Roboto" w:hAnsi="Arial" w:cs="Arial"/>
          <w:color w:val="333333"/>
          <w:sz w:val="22"/>
          <w:szCs w:val="22"/>
        </w:rPr>
        <w:t>Radi lakšeg razumijevanja obveza iz Ugovor</w:t>
      </w:r>
      <w:r>
        <w:rPr>
          <w:rFonts w:ascii="Arial" w:eastAsia="Roboto" w:hAnsi="Arial" w:cs="Arial"/>
          <w:color w:val="333333"/>
          <w:sz w:val="22"/>
          <w:szCs w:val="22"/>
        </w:rPr>
        <w:t>a</w:t>
      </w:r>
      <w:r w:rsidRPr="0021283E">
        <w:rPr>
          <w:rFonts w:ascii="Arial" w:eastAsia="Roboto" w:hAnsi="Arial" w:cs="Arial"/>
          <w:color w:val="333333"/>
          <w:sz w:val="22"/>
          <w:szCs w:val="22"/>
        </w:rPr>
        <w:t xml:space="preserve"> o dodjeli bespovratnih sredstava, </w:t>
      </w:r>
      <w:r>
        <w:rPr>
          <w:rFonts w:ascii="Arial" w:eastAsia="Roboto" w:hAnsi="Arial" w:cs="Arial"/>
          <w:color w:val="333333"/>
          <w:sz w:val="22"/>
          <w:szCs w:val="22"/>
        </w:rPr>
        <w:t>navedeni su sljedeći članci koji opisuju obveze CARNET-a kao korisnika Ugovora o dodjeli bespovratnih sredstava.</w:t>
      </w:r>
    </w:p>
    <w:p w14:paraId="0810CEAF" w14:textId="77777777" w:rsidR="00B9066E" w:rsidRPr="00A5737A" w:rsidRDefault="00B9066E" w:rsidP="00B9066E">
      <w:pPr>
        <w:jc w:val="both"/>
        <w:rPr>
          <w:rFonts w:ascii="Arial" w:eastAsia="Roboto" w:hAnsi="Arial" w:cs="Arial"/>
          <w:color w:val="333333"/>
          <w:sz w:val="22"/>
          <w:szCs w:val="22"/>
          <w:highlight w:val="yellow"/>
        </w:rPr>
      </w:pPr>
    </w:p>
    <w:p w14:paraId="07D5BCC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ČLANAK 8. - VLASNIŠTVO I TRAJNOST PROJEKTA</w:t>
      </w:r>
    </w:p>
    <w:p w14:paraId="2DB7264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66438C43"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8.1. Korisnik je vlasnik stvari nabavljenih u okviru projekta te nositelj drugih prava vezanih uz rezultate projekta, uključujući prava intelektualnog vlasništva, koja Korisnik može prenijeti na partnere sukladno odredbama ovog članka.</w:t>
      </w:r>
    </w:p>
    <w:p w14:paraId="4868E1D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7AAC1C50"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8.2. Bez obzira na odredbe prethodne točke ovih Općih uvjeta, a u skladu s odredbama članka 3. ovih Općih uvjeta, Korisnik osigurava PT-u 1 i/ili PT-u 2 da slobodno i prema svom nahođenju koriste svu dokumentaciju vezanu uz projekt, bez obzira na njezin oblik, pod uvjetom da ne krše postojeća prava intelektualnog vlasništva.</w:t>
      </w:r>
    </w:p>
    <w:p w14:paraId="37C71FE6"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6D1F97B0"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8.3. Ako nije drugačije navedeno u Posebnim uvjetima, zemljište, zgrade, oprema, vozila, potrošni materijali i rezultati projekta financirani iz proračuna Projekta mogu se prenijeti na projektne partnere ili treće osobe, pri čemu</w:t>
      </w:r>
    </w:p>
    <w:p w14:paraId="700B32AC" w14:textId="77777777" w:rsidR="00B9066E" w:rsidRPr="00A5737A" w:rsidRDefault="00B9066E" w:rsidP="00B9066E">
      <w:pPr>
        <w:ind w:left="840" w:hanging="420"/>
        <w:jc w:val="both"/>
        <w:rPr>
          <w:rFonts w:ascii="Arial" w:eastAsia="Roboto" w:hAnsi="Arial" w:cs="Arial"/>
          <w:color w:val="333333"/>
          <w:sz w:val="22"/>
          <w:szCs w:val="22"/>
        </w:rPr>
      </w:pPr>
      <w:r w:rsidRPr="00A5737A">
        <w:rPr>
          <w:rFonts w:ascii="Arial" w:eastAsia="Roboto" w:hAnsi="Arial" w:cs="Arial"/>
          <w:color w:val="333333"/>
          <w:sz w:val="22"/>
          <w:szCs w:val="22"/>
        </w:rPr>
        <w:t>a)      svrha tog zemljišta, zgrada, opreme, vozila, potrošnih materijala i rezultata projekta, ostaje neizmijenjena u odnosu na namjenu definiranu Ugovorom u razdoblju od najmanje pet godina nakon isteka razdoblja provedbe projekta;</w:t>
      </w:r>
    </w:p>
    <w:p w14:paraId="78A3D483" w14:textId="77777777" w:rsidR="00B9066E" w:rsidRPr="00A5737A" w:rsidRDefault="00B9066E" w:rsidP="00B9066E">
      <w:pPr>
        <w:ind w:left="840" w:hanging="420"/>
        <w:jc w:val="both"/>
        <w:rPr>
          <w:rFonts w:ascii="Arial" w:eastAsia="Roboto" w:hAnsi="Arial" w:cs="Arial"/>
          <w:color w:val="333333"/>
          <w:sz w:val="22"/>
          <w:szCs w:val="22"/>
        </w:rPr>
      </w:pPr>
      <w:r w:rsidRPr="00A5737A">
        <w:rPr>
          <w:rFonts w:ascii="Arial" w:eastAsia="Roboto" w:hAnsi="Arial" w:cs="Arial"/>
          <w:color w:val="333333"/>
          <w:sz w:val="22"/>
          <w:szCs w:val="22"/>
        </w:rPr>
        <w:t>b)     je u slučaju prijenosa sredstava među partnerima Ugovora, potrebno prethodno pisano odobrenje PT-a 1 i PT-a 2 te je Korisnik u navedenu svrhu obvezan istim tijelima prethodno dostaviti svu relevantnu dokumentaciju na uvid;</w:t>
      </w:r>
    </w:p>
    <w:p w14:paraId="401C9250" w14:textId="77777777" w:rsidR="00B9066E" w:rsidRPr="00A5737A" w:rsidRDefault="00B9066E" w:rsidP="00B9066E">
      <w:pPr>
        <w:ind w:left="840" w:hanging="420"/>
        <w:jc w:val="both"/>
        <w:rPr>
          <w:rFonts w:ascii="Arial" w:eastAsia="Roboto" w:hAnsi="Arial" w:cs="Arial"/>
          <w:color w:val="333333"/>
          <w:sz w:val="22"/>
          <w:szCs w:val="22"/>
        </w:rPr>
      </w:pPr>
      <w:r w:rsidRPr="00A5737A">
        <w:rPr>
          <w:rFonts w:ascii="Arial" w:eastAsia="Roboto" w:hAnsi="Arial" w:cs="Arial"/>
          <w:color w:val="333333"/>
          <w:sz w:val="22"/>
          <w:szCs w:val="22"/>
        </w:rPr>
        <w:t>c)       je u slučaju prijenosa sredstava na treće osobe, potrebno prethodno pisano odobrenje PT-a 1 i PT-a 2 te je Korisnik u navedenu svrhu obvezan istim tijelima prethodno dostaviti svu relevantnu dokumentaciju na uvid.</w:t>
      </w:r>
    </w:p>
    <w:p w14:paraId="2325D01F" w14:textId="77777777" w:rsidR="00B9066E" w:rsidRPr="00A5737A" w:rsidRDefault="00B9066E" w:rsidP="00B9066E">
      <w:pPr>
        <w:ind w:left="420"/>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7CADEC8E"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8.4. Ograničenja  navedena pod točkom 8.3. a), b) i c) ovih Općih uvjeta primjenjuju se pet godina nakon završetka razdoblja provedbe projekta, osim ako je drugačije predviđeno Posebnim uvjetima.</w:t>
      </w:r>
    </w:p>
    <w:p w14:paraId="375905BD"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6D3DEAC4"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8.5. Korisnik jamči trajnost financiranog projekta tijekom pet godina nakon završetka provedbe Projekta, osim ako je drugačije predviđeno Posebnim uvjetima, i snosi punu odgovornost za posljedice u slučaju nepoštivanja zahtjeva trajnosti definiranih u Uredbi (EU) br. 1303/2013.</w:t>
      </w:r>
    </w:p>
    <w:p w14:paraId="7B644980"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5164ADB5"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8.6. Korisnik je obvezan koristiti imovinu nabavljenu u okviru projekta za potrebe projekta i ostvarivanje projektnih rezultata, uzimajući u obzir normalno korištenje i standardnu amortizaciju.</w:t>
      </w:r>
    </w:p>
    <w:p w14:paraId="1E68DC7C"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37DF51D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8.7. Ako je tako određeno Posebnim uvjetima Korisnik mora osigurati imovinu nabavljenu u okviru projekta, pod  uvjetima navedenima u Posebnim uvjetima. </w:t>
      </w:r>
    </w:p>
    <w:p w14:paraId="0D52B7CA" w14:textId="77777777" w:rsidR="00B9066E" w:rsidRPr="00A5737A" w:rsidRDefault="00B9066E" w:rsidP="00B9066E">
      <w:pPr>
        <w:jc w:val="both"/>
        <w:rPr>
          <w:rFonts w:ascii="Arial" w:eastAsia="Roboto" w:hAnsi="Arial" w:cs="Arial"/>
          <w:color w:val="333333"/>
          <w:sz w:val="22"/>
          <w:szCs w:val="22"/>
        </w:rPr>
      </w:pPr>
    </w:p>
    <w:p w14:paraId="39617356"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ČLANAK 12. IZVJEŠĆA</w:t>
      </w:r>
    </w:p>
    <w:p w14:paraId="6A92717F"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0F190B60"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12.1. Korisnik tijekom izvršavanja Ugovora podnosi PT-u 2 sljedeća izvješća: Izvješća o napretku, Završno izvješće o provedbi projekta (dalje u tekstu: Završno izvješće) te Izvješće nakon provedbe projekta. Izvješće o napretku dostavlja se na obrascu Zahtjeva za nadoknadom sredstava koji Korisniku nakon sklapanja Ugovora dostavlja PT-u 2. Završno izvješće i, ako je primjenjivo, Izvješće nakon provedbe projekta dostavljaju se na obrascima koji su sastavni dio Ugovora. Predmetna izvješća odnose se na ugovoreni projekt u cijelosti, neovisno o izvoru financiranja te sadržajno moraju zadovoljavati sve ugovorene uvjete.</w:t>
      </w:r>
    </w:p>
    <w:p w14:paraId="4ED62D7A"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099B85BA" w14:textId="77777777" w:rsidR="00B9066E" w:rsidRPr="00A5737A" w:rsidRDefault="00B9066E" w:rsidP="00B9066E">
      <w:pPr>
        <w:ind w:left="1420" w:hanging="720"/>
        <w:jc w:val="both"/>
        <w:rPr>
          <w:rFonts w:ascii="Arial" w:eastAsia="Roboto" w:hAnsi="Arial" w:cs="Arial"/>
          <w:color w:val="333333"/>
          <w:sz w:val="22"/>
          <w:szCs w:val="22"/>
        </w:rPr>
      </w:pPr>
      <w:r w:rsidRPr="00A5737A">
        <w:rPr>
          <w:rFonts w:ascii="Arial" w:eastAsia="Roboto" w:hAnsi="Arial" w:cs="Arial"/>
          <w:color w:val="333333"/>
          <w:sz w:val="22"/>
          <w:szCs w:val="22"/>
        </w:rPr>
        <w:t>12.2.</w:t>
      </w:r>
      <w:r w:rsidRPr="00A5737A">
        <w:rPr>
          <w:rFonts w:ascii="Arial" w:eastAsia="Roboto" w:hAnsi="Arial" w:cs="Arial"/>
          <w:color w:val="333333"/>
          <w:sz w:val="22"/>
          <w:szCs w:val="22"/>
        </w:rPr>
        <w:tab/>
        <w:t>Izvješća iz prethodne točke Korisnik je dužan podnositi u sljedećim rokovima:</w:t>
      </w:r>
    </w:p>
    <w:p w14:paraId="2E65F355" w14:textId="77777777" w:rsidR="00B9066E" w:rsidRPr="00A5737A" w:rsidRDefault="00B9066E" w:rsidP="00B9066E">
      <w:pPr>
        <w:ind w:left="1080" w:hanging="360"/>
        <w:jc w:val="both"/>
        <w:rPr>
          <w:rFonts w:ascii="Arial" w:eastAsia="Roboto" w:hAnsi="Arial" w:cs="Arial"/>
          <w:color w:val="333333"/>
          <w:sz w:val="22"/>
          <w:szCs w:val="22"/>
        </w:rPr>
      </w:pPr>
      <w:r w:rsidRPr="00A5737A">
        <w:rPr>
          <w:rFonts w:ascii="Arial" w:eastAsia="Roboto" w:hAnsi="Arial" w:cs="Arial"/>
          <w:color w:val="333333"/>
          <w:sz w:val="22"/>
          <w:szCs w:val="22"/>
        </w:rPr>
        <w:t>a)    Izvješća o napretku podnose se u roku od 15 dana od isteka svaka tri mjeseca od sklapanja Ugovora;</w:t>
      </w:r>
    </w:p>
    <w:p w14:paraId="1834D7A7" w14:textId="77777777" w:rsidR="00B9066E" w:rsidRPr="00A5737A" w:rsidRDefault="00B9066E" w:rsidP="00B9066E">
      <w:pPr>
        <w:ind w:left="360"/>
        <w:jc w:val="both"/>
        <w:rPr>
          <w:rFonts w:ascii="Arial" w:eastAsia="Roboto" w:hAnsi="Arial" w:cs="Arial"/>
          <w:color w:val="333333"/>
          <w:sz w:val="22"/>
          <w:szCs w:val="22"/>
        </w:rPr>
      </w:pPr>
      <w:r w:rsidRPr="00A5737A">
        <w:rPr>
          <w:rFonts w:ascii="Arial" w:eastAsia="Roboto" w:hAnsi="Arial" w:cs="Arial"/>
          <w:color w:val="333333"/>
          <w:sz w:val="22"/>
          <w:szCs w:val="22"/>
        </w:rPr>
        <w:lastRenderedPageBreak/>
        <w:t>b)</w:t>
      </w:r>
      <w:r w:rsidRPr="00A5737A">
        <w:rPr>
          <w:rFonts w:ascii="Arial" w:eastAsia="Roboto" w:hAnsi="Arial" w:cs="Arial"/>
          <w:color w:val="333333"/>
          <w:sz w:val="22"/>
          <w:szCs w:val="22"/>
        </w:rPr>
        <w:tab/>
        <w:t>Ako je na temelju Ugovora dopušteno retroaktivno potraživanje sredstava (ako razdoblje provedbe i razdoblje prihvatljivosti počinje prije početka primjene Ugovora), prvi Zahtjev za nadoknadom sredstava Korisnik može dostaviti danom stupanja Ugovora na snagu ili nakon isteka prva tri mjeseca od datuma potpisivanja Ugovora. Sve sljedeće Zahtjeve Korisnik dostavlja sukladno točki 12.2. a) ovih Općih uvjeta;</w:t>
      </w:r>
    </w:p>
    <w:p w14:paraId="3E41D7FE" w14:textId="77777777" w:rsidR="00B9066E" w:rsidRPr="00A5737A" w:rsidRDefault="00B9066E" w:rsidP="00B9066E">
      <w:pPr>
        <w:ind w:left="1080" w:hanging="360"/>
        <w:jc w:val="both"/>
        <w:rPr>
          <w:rFonts w:ascii="Arial" w:eastAsia="Roboto" w:hAnsi="Arial" w:cs="Arial"/>
          <w:color w:val="333333"/>
          <w:sz w:val="22"/>
          <w:szCs w:val="22"/>
        </w:rPr>
      </w:pPr>
      <w:r w:rsidRPr="00A5737A">
        <w:rPr>
          <w:rFonts w:ascii="Arial" w:eastAsia="Roboto" w:hAnsi="Arial" w:cs="Arial"/>
          <w:color w:val="333333"/>
          <w:sz w:val="22"/>
          <w:szCs w:val="22"/>
        </w:rPr>
        <w:t>c)    Završno izvješće podnosi se zajedno sa Završnim zahtjevom za nadoknadom sredstava u roku od 30 dana od isteka razdoblja provedbe projekta;</w:t>
      </w:r>
    </w:p>
    <w:p w14:paraId="7F07F932" w14:textId="77777777" w:rsidR="00B9066E" w:rsidRPr="00A5737A" w:rsidRDefault="00B9066E" w:rsidP="00B9066E">
      <w:pPr>
        <w:ind w:left="360"/>
        <w:jc w:val="both"/>
        <w:rPr>
          <w:rFonts w:ascii="Arial" w:eastAsia="Roboto" w:hAnsi="Arial" w:cs="Arial"/>
          <w:color w:val="333333"/>
          <w:sz w:val="22"/>
          <w:szCs w:val="22"/>
        </w:rPr>
      </w:pPr>
      <w:r w:rsidRPr="00A5737A">
        <w:rPr>
          <w:rFonts w:ascii="Arial" w:eastAsia="Roboto" w:hAnsi="Arial" w:cs="Arial"/>
          <w:color w:val="333333"/>
          <w:sz w:val="22"/>
          <w:szCs w:val="22"/>
        </w:rPr>
        <w:t>d)   Korisnik je obvezan podnositi Izvješća nakon provedbe projekta, u razdoblju od pet godina nakon okončanja provedbe projekta, osim ako u Posebnim uvjetima nije navedeno drugačije. Rok za dostavu navedenog Izvješća je 30 dana nakon isteka svake godine tijekom tog razdoblja.</w:t>
      </w:r>
    </w:p>
    <w:p w14:paraId="6FEFEFC4"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62CE351A"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12.3. Ako Korisnik ne podnese izvješća iz točke 12.2. Ovih općih uvjeta u predviđenim rokovima PT2 će mu uputiti pisano upozorenje te odrediti naknadni rok za dostavu izvješća. Ako Korisnik ne dostavi traženo izvješće ni u naknadno ostavljenom roku, PT 2 može obustaviti daljnja plaćanja sukladno članku 15. ovih Općih uvjeta i/ili se može raskinuti Ugovor sukladno članku 24. ovih Općih uvjeta te zahtijevati povrat isplaćenih sredstava.</w:t>
      </w:r>
    </w:p>
    <w:p w14:paraId="1BD80CE0"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4A72AC77"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12.4. Posebnim uvjetima mogu se odrediti kraći rokovi od onih određenih točkom 12.2. ovih Općih uvjeta, kao i zahtjevi kojima se mijenjaju ili dopunjuju zahtjevi određeni ovim člankom Općih uvjeta. U slučaju određivanja kraćih rokova, vremenski razmak između pojedinih Izvješća o napretku ne smije biti duži od 3 mjeseca.</w:t>
      </w:r>
    </w:p>
    <w:p w14:paraId="2C4F28D3"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73DDE716"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12.5. Ako su za dovršetak provjere bilo kojeg od izvješća iz točke 12.1. ovih Općih uvjeta PT-u 2 potrebne dodatne informacije, pisanim putem od korisnika zahtijeva dostavljanje istih, u za to naznačenom roku koji ne može biti kraći od 3 niti duži od 10 radnih dana, osim ako PT2 i korisnik ne dogovore drugačije.</w:t>
      </w:r>
    </w:p>
    <w:p w14:paraId="22F73F4A"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0243BCF3"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ČLANAK 16. – RAČUNOVODSTVENO EVIDENTIRANJE, TEHNIČKE I FINANCIJSKE PROVJERE</w:t>
      </w:r>
    </w:p>
    <w:p w14:paraId="7BB45931"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50CE9F5E"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16.1. Troškovi uključeni u Zahtjev za nadoknadom sredstava moraju biti utvrdivi i provjerljivi (praćenje projektnih izdataka i prihoda korištenjem posebnih šifri projekta/mjesta troška/organizacijske jedinice/ posebne analitike konta ili slično), i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skladu s člankom 13. Uredbe (EU) br. 1304/2013.</w:t>
      </w:r>
    </w:p>
    <w:p w14:paraId="21C4BF94"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13F64FDC"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16.2. Korisnik je obvezan osigurati da se Zahtjevi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kontrole od strane nadležnih tijela te radi osiguranja jasnog revizorskog traga.</w:t>
      </w:r>
    </w:p>
    <w:p w14:paraId="6B625C26"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3776049B"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16.3. Korisnik mora omogućiti PT-ovima, UT, TO, TR, EK, Uredu Europske komisije za suzbijanje prijevara (OLAF), Europskom revizorskom sudu (ERS) i bilo kojim drugim revizorima ili vanjskim osobama ovlaštenima od strane PT-a 2, provođenje potrebnih provjera, pregledavanjem dokumenata, pravljenjem preslika tih dokumenata ili vršenjem provjera na licu mjesta (sa ili bez prethodne najave), praćenje provedbe projekta i vršenje postupka pune revizije, ako je potrebno, na temelju popratnih dokumenata za račune, računovodstvene dokumentacije i bilo kojih drugih dokumenata relevantnih za financiranje projekta. Ove provjere mogu se vršiti do 5 godina nakon zatvaranja operativnog programa pod kojim se projekt sufinancira, osim ako u Posebnim uvjetima Ugovora nije drugačije određeno.</w:t>
      </w:r>
    </w:p>
    <w:p w14:paraId="459B903D"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Nadalje, Korisnik mora omogućiti da PT-ovi, UT, TO, TR, OLAF i bilo koji vanjski revizor ovlašten od strane PT-a 2 obavi provjere i provjere na licu mjesta (sa ili bez prethodne najave), u skladu s procedurama definiranima propisima Europske unije za zaštitu financijskih interesa Europske unije od prijevara i ostalih nepravilnosti. U tu svrhu, Korisnik se obvezuje omogućiti odgovarajući pristup </w:t>
      </w:r>
      <w:r w:rsidRPr="00A5737A">
        <w:rPr>
          <w:rFonts w:ascii="Arial" w:eastAsia="Roboto" w:hAnsi="Arial" w:cs="Arial"/>
          <w:color w:val="333333"/>
          <w:sz w:val="22"/>
          <w:szCs w:val="22"/>
        </w:rPr>
        <w:lastRenderedPageBreak/>
        <w:t>osoblju ili predstavnicima EK, OLAF-a i ERS-a, kao i bilo kojem vanjskom revizoru koje je ovlastilo PT2 te njihovu posjetu sjedištu i mjestu na kojem se projekt provodi, uključujući i njegove informacijske sustave, kao i sve dokumente i baze podataka koji se odnose na tehničko i financijsko upravljanje projektom, te poduzeti sve potrebne korake kako bi olakšao njihov rad. Predstavnicima PT-ova, UT, TR, EK, OLAF-a i ERS-a i bilo kojem drugom vanjskom revizoru ovlaštenom od strane PT-a 2  omogućava se pristup na temelju  uzajamne povjerenja i zaštite povjerljivosti informacija, dokumentacije i podataka u odnosu na treće osobe.</w:t>
      </w:r>
    </w:p>
    <w:p w14:paraId="7BF95D8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Dokumenti moraju biti lako dostupni i spremljeni tako da olakšaju provjeru, a Korisnik mora obavijestiti PT-ove o točnom mjestu na kojem se čuvaju.</w:t>
      </w:r>
    </w:p>
    <w:p w14:paraId="28852CE7"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Korisnik jamči da su prava PT-ova, UT, TR, EK, OLAF-a i ERS-a, kao i bilo kojeg vanjskog revizora ovlaštenog od PT-a 2 za obavljanje revizija, kontrola i provjera jednako primjenjiva i na Korisnikove partnere, pod istim uvjetima i prema istim pravilima iz ovog članka.</w:t>
      </w:r>
    </w:p>
    <w:p w14:paraId="18186A5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7BB37B71"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16.4. Pored izvješća iz članka 12. ovih Općih uvjeta, pravo tijela/institucija navedenih u točki 16.3. ovih Općih uvjeta vršiti provjere odnosi se posebice na:</w:t>
      </w:r>
    </w:p>
    <w:p w14:paraId="2F938BF9"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evidencije iz računovodstvenog sustava koji Korisnik koristi za potrebe poslovanja (kao što su glavna knjiga, analitičke evidencije, evidencije dugotrajne/kratkotrajne imovine; sitnog inventara, dnevnici knjiženja).</w:t>
      </w:r>
    </w:p>
    <w:p w14:paraId="4A6D94EA"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dokumentacija vezana uz provođenje postupaka nabave, kao što su objave natječaja, natječajne dokumentacije, ponude ponuditelja i evaluacijska izvješća;</w:t>
      </w:r>
    </w:p>
    <w:p w14:paraId="68F6BD75"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uvid u preuzete obveze na temelju sklopljenih ugovora/narudžbenica;</w:t>
      </w:r>
    </w:p>
    <w:p w14:paraId="5CCF1349"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14:paraId="0F23B2EF"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primitku robe, kao što su primjerice potvrde o isporuci od dobavljača uz potvrde o prihvatu, privremene potvrde o prihvatu i konačne potvrde o prihvatu;</w:t>
      </w:r>
    </w:p>
    <w:p w14:paraId="67944560"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završetku radova, poput potvrde o prihvatu, potvrde o preuzimanju, uporabne dozvole i potvrde o izvedbi;</w:t>
      </w:r>
    </w:p>
    <w:p w14:paraId="3E3669D0"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kupnji, kao što su računi i priznanice.</w:t>
      </w:r>
    </w:p>
    <w:p w14:paraId="488626A8"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plaćanju kao što su bankovni izvodi, knjižne obavijesti, dokazi o podmirenju od izvođača;</w:t>
      </w:r>
    </w:p>
    <w:p w14:paraId="5D85C98E"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da su porezi i/ili PDV plaćeni i da za njih nije moguće ostvariti povrat;</w:t>
      </w:r>
    </w:p>
    <w:p w14:paraId="70923436"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dokaz o putovanju kao što je putni nalog i putni račun, izvještaj s puta, prijevozne karte i ukrcajne propusnice;</w:t>
      </w:r>
    </w:p>
    <w:p w14:paraId="33E9DD7A"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za troškove goriva, priložene sažete popise prijeđene kilometraže, podatke o prosječnoj potrošnji korištenih vozila, službeni dnevnik vozila, podatke o troškovima goriva i održavanja;</w:t>
      </w:r>
    </w:p>
    <w:p w14:paraId="2DE24D7D"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mirovinsko osiguranje i neto plaću.</w:t>
      </w:r>
    </w:p>
    <w:p w14:paraId="5DC388C7" w14:textId="77777777" w:rsidR="00B9066E" w:rsidRPr="00A5737A" w:rsidRDefault="00B9066E" w:rsidP="00B9066E">
      <w:pPr>
        <w:ind w:left="560" w:hanging="280"/>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3163285D"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16.5. Korisnik mora surađivati s institucijama/tijelima navedenima u točki 16.3. ovih Općih uvjeta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provodi, isporučevinama, rezultatima i neposrednim rezultatima projekta, u razdoblju od pet godina nakon zatvaranja operativnog programa, osim ako Posebnim uvjetima Ugovora nije drugačije određeno.</w:t>
      </w:r>
    </w:p>
    <w:p w14:paraId="44104B1B"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401E240C"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16.6. Korisnik mora osigurati pohranu dokumenata navedenih u točki 16.4. ovih Općih uvjeta najmanje pet godina nakon zatvaranja operativnog programa. Ako nakon završene provedbe projekta Korisnik iz bilo kojeg razloga prestaje biti nositelj relevantnih dokumenata i informacija, </w:t>
      </w:r>
      <w:r w:rsidRPr="00A5737A">
        <w:rPr>
          <w:rFonts w:ascii="Arial" w:eastAsia="Roboto" w:hAnsi="Arial" w:cs="Arial"/>
          <w:color w:val="333333"/>
          <w:sz w:val="22"/>
          <w:szCs w:val="22"/>
        </w:rPr>
        <w:lastRenderedPageBreak/>
        <w:t>mora, prije no što to stanje nastupi, obavijestiti PT1 i PT2 o novom nositelju relevantnih dokumenata i informacija te dati njegove kontakt podatke (ime, adresu, broj telefona i faksa, adresu e-pošte).</w:t>
      </w:r>
    </w:p>
    <w:p w14:paraId="5F59C702"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12349216"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16.7. PT2 provodi provjeru u roku od 5 radnih dana od primitka dokumentacije.</w:t>
      </w:r>
    </w:p>
    <w:p w14:paraId="05D52139"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podataka. Rok kojeg PT2 određuje za dostavljanje dodatnih podataka ne može biti kraći od 3 niti duži od 5 radnih dana, osim ako se korisnik i PT2 ne usuglase drugačije.</w:t>
      </w:r>
    </w:p>
    <w:p w14:paraId="5C684945"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 xml:space="preserve"> </w:t>
      </w:r>
    </w:p>
    <w:p w14:paraId="27CFB36F" w14:textId="77777777" w:rsidR="00B9066E" w:rsidRPr="00A5737A" w:rsidRDefault="00B9066E" w:rsidP="00B9066E">
      <w:pPr>
        <w:jc w:val="both"/>
        <w:rPr>
          <w:rFonts w:ascii="Arial" w:eastAsia="Roboto" w:hAnsi="Arial" w:cs="Arial"/>
          <w:color w:val="333333"/>
          <w:sz w:val="22"/>
          <w:szCs w:val="22"/>
        </w:rPr>
      </w:pPr>
      <w:r w:rsidRPr="00A5737A">
        <w:rPr>
          <w:rFonts w:ascii="Arial" w:eastAsia="Roboto" w:hAnsi="Arial" w:cs="Arial"/>
          <w:color w:val="333333"/>
          <w:sz w:val="22"/>
          <w:szCs w:val="22"/>
        </w:rPr>
        <w:t>16.8. Odredbe ovog članka primjenjuju se jednako na Korisnika i na partnere navedene u Posebnim uvjetima.</w:t>
      </w:r>
    </w:p>
    <w:p w14:paraId="66237B38" w14:textId="77777777" w:rsidR="00B9066E" w:rsidRPr="00A5737A" w:rsidRDefault="00B9066E" w:rsidP="00B9066E">
      <w:pPr>
        <w:jc w:val="both"/>
        <w:rPr>
          <w:rFonts w:ascii="Arial" w:hAnsi="Arial" w:cs="Arial"/>
          <w:color w:val="333333"/>
          <w:sz w:val="22"/>
          <w:szCs w:val="22"/>
        </w:rPr>
      </w:pPr>
    </w:p>
    <w:p w14:paraId="7A3B01A3" w14:textId="77777777" w:rsidR="00B9066E" w:rsidRPr="00A5737A" w:rsidRDefault="00B9066E" w:rsidP="00B9066E">
      <w:pPr>
        <w:jc w:val="both"/>
        <w:rPr>
          <w:rFonts w:ascii="Arial" w:hAnsi="Arial" w:cs="Arial"/>
          <w:color w:val="333333"/>
          <w:sz w:val="22"/>
          <w:szCs w:val="22"/>
        </w:rPr>
      </w:pPr>
    </w:p>
    <w:p w14:paraId="44BAB271" w14:textId="77777777" w:rsidR="00B9066E" w:rsidRPr="00514A11" w:rsidRDefault="00B9066E" w:rsidP="00B9066E">
      <w:pPr>
        <w:jc w:val="both"/>
        <w:rPr>
          <w:color w:val="333333"/>
        </w:rPr>
      </w:pPr>
    </w:p>
    <w:p w14:paraId="495C6600" w14:textId="77777777" w:rsidR="00B9066E" w:rsidRPr="00595E98" w:rsidRDefault="00B9066E" w:rsidP="006C5D91">
      <w:pPr>
        <w:widowControl w:val="0"/>
        <w:autoSpaceDE w:val="0"/>
        <w:autoSpaceDN w:val="0"/>
        <w:adjustRightInd w:val="0"/>
        <w:spacing w:before="240" w:after="120"/>
        <w:ind w:left="11"/>
        <w:rPr>
          <w:rFonts w:ascii="Arial" w:hAnsi="Arial" w:cs="Arial"/>
          <w:sz w:val="26"/>
          <w:szCs w:val="26"/>
        </w:rPr>
      </w:pPr>
    </w:p>
    <w:sectPr w:rsidR="00B9066E" w:rsidRPr="00595E98" w:rsidSect="006E1357">
      <w:headerReference w:type="default" r:id="rId14"/>
      <w:footerReference w:type="default" r:id="rId15"/>
      <w:type w:val="continuous"/>
      <w:pgSz w:w="11900" w:h="16840" w:code="9"/>
      <w:pgMar w:top="1304" w:right="1134" w:bottom="1304" w:left="1140" w:header="567" w:footer="737" w:gutter="0"/>
      <w:cols w:space="720" w:equalWidth="0">
        <w:col w:w="9626"/>
      </w:cols>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80553" w14:textId="77777777" w:rsidR="00931849" w:rsidRDefault="00931849" w:rsidP="00955EE2">
      <w:r>
        <w:separator/>
      </w:r>
    </w:p>
  </w:endnote>
  <w:endnote w:type="continuationSeparator" w:id="0">
    <w:p w14:paraId="17E2B464" w14:textId="77777777" w:rsidR="00931849" w:rsidRDefault="00931849" w:rsidP="00955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TT">
    <w:charset w:val="EE"/>
    <w:family w:val="auto"/>
    <w:pitch w:val="variable"/>
    <w:sig w:usb0="00000001" w:usb1="00000000" w:usb2="00000000" w:usb3="00000000" w:csb0="00000097"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Roboto">
    <w:altName w:val="Arial"/>
    <w:charset w:val="00"/>
    <w:family w:val="auto"/>
    <w:pitch w:val="default"/>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1FAB" w14:textId="36D7ECED" w:rsidR="002B5DAE" w:rsidRPr="00933932" w:rsidRDefault="002B5DAE" w:rsidP="00B96765">
    <w:pPr>
      <w:pStyle w:val="Footer"/>
      <w:pBdr>
        <w:top w:val="single" w:sz="4" w:space="1" w:color="auto"/>
      </w:pBdr>
      <w:tabs>
        <w:tab w:val="clear" w:pos="9072"/>
        <w:tab w:val="right" w:pos="9639"/>
      </w:tabs>
      <w:rPr>
        <w:rFonts w:ascii="Myriad Pro" w:hAnsi="Myriad Pro"/>
        <w:sz w:val="22"/>
        <w:szCs w:val="22"/>
      </w:rPr>
    </w:pPr>
    <w:r>
      <w:rPr>
        <w:rFonts w:ascii="Myriad Pro" w:hAnsi="Myriad Pro"/>
        <w:sz w:val="22"/>
        <w:szCs w:val="22"/>
      </w:rPr>
      <w:t>CDA00</w:t>
    </w:r>
    <w:r w:rsidR="0044784B">
      <w:rPr>
        <w:rFonts w:ascii="Myriad Pro" w:hAnsi="Myriad Pro"/>
        <w:sz w:val="22"/>
        <w:szCs w:val="22"/>
      </w:rPr>
      <w:t>64</w:t>
    </w:r>
    <w:r>
      <w:rPr>
        <w:rFonts w:ascii="Myriad Pro" w:hAnsi="Myriad Pro"/>
        <w:sz w:val="22"/>
        <w:szCs w:val="22"/>
      </w:rPr>
      <w:tab/>
    </w:r>
    <w:r>
      <w:rPr>
        <w:rFonts w:ascii="Myriad Pro" w:hAnsi="Myriad Pro"/>
        <w:sz w:val="22"/>
        <w:szCs w:val="22"/>
      </w:rPr>
      <w:tab/>
    </w:r>
    <w:r w:rsidRPr="00A9203D">
      <w:rPr>
        <w:rStyle w:val="PageNumber"/>
        <w:rFonts w:ascii="Myriad Pro" w:hAnsi="Myriad Pro"/>
        <w:sz w:val="20"/>
        <w:szCs w:val="20"/>
      </w:rPr>
      <w:fldChar w:fldCharType="begin"/>
    </w:r>
    <w:r w:rsidRPr="00A9203D">
      <w:rPr>
        <w:rStyle w:val="PageNumber"/>
        <w:rFonts w:ascii="Myriad Pro" w:hAnsi="Myriad Pro"/>
        <w:sz w:val="20"/>
        <w:szCs w:val="20"/>
      </w:rPr>
      <w:instrText xml:space="preserve"> PAGE </w:instrText>
    </w:r>
    <w:r w:rsidRPr="00A9203D">
      <w:rPr>
        <w:rStyle w:val="PageNumber"/>
        <w:rFonts w:ascii="Myriad Pro" w:hAnsi="Myriad Pro"/>
        <w:sz w:val="20"/>
        <w:szCs w:val="20"/>
      </w:rPr>
      <w:fldChar w:fldCharType="separate"/>
    </w:r>
    <w:r w:rsidR="00595E98">
      <w:rPr>
        <w:rStyle w:val="PageNumber"/>
        <w:rFonts w:ascii="Myriad Pro" w:hAnsi="Myriad Pro"/>
        <w:noProof/>
        <w:sz w:val="20"/>
        <w:szCs w:val="20"/>
      </w:rPr>
      <w:t>2</w:t>
    </w:r>
    <w:r w:rsidRPr="00A9203D">
      <w:rPr>
        <w:rStyle w:val="PageNumber"/>
        <w:rFonts w:ascii="Myriad Pro" w:hAnsi="Myriad Pro"/>
        <w:sz w:val="20"/>
        <w:szCs w:val="20"/>
      </w:rPr>
      <w:fldChar w:fldCharType="end"/>
    </w:r>
    <w:r>
      <w:rPr>
        <w:rStyle w:val="PageNumber"/>
        <w:rFonts w:ascii="Myriad Pro" w:hAnsi="Myriad Pro"/>
        <w:sz w:val="20"/>
        <w:szCs w:val="20"/>
      </w:rPr>
      <w:t xml:space="preserve"> / </w:t>
    </w:r>
    <w:r w:rsidRPr="00A9203D">
      <w:rPr>
        <w:rStyle w:val="PageNumber"/>
        <w:rFonts w:ascii="Myriad Pro" w:hAnsi="Myriad Pro"/>
        <w:sz w:val="20"/>
        <w:szCs w:val="20"/>
      </w:rPr>
      <w:fldChar w:fldCharType="begin"/>
    </w:r>
    <w:r w:rsidRPr="00A9203D">
      <w:rPr>
        <w:rStyle w:val="PageNumber"/>
        <w:rFonts w:ascii="Myriad Pro" w:hAnsi="Myriad Pro"/>
        <w:sz w:val="20"/>
        <w:szCs w:val="20"/>
      </w:rPr>
      <w:instrText xml:space="preserve"> NUMPAGES </w:instrText>
    </w:r>
    <w:r w:rsidRPr="00A9203D">
      <w:rPr>
        <w:rStyle w:val="PageNumber"/>
        <w:rFonts w:ascii="Myriad Pro" w:hAnsi="Myriad Pro"/>
        <w:sz w:val="20"/>
        <w:szCs w:val="20"/>
      </w:rPr>
      <w:fldChar w:fldCharType="separate"/>
    </w:r>
    <w:r w:rsidR="00595E98">
      <w:rPr>
        <w:rStyle w:val="PageNumber"/>
        <w:rFonts w:ascii="Myriad Pro" w:hAnsi="Myriad Pro"/>
        <w:noProof/>
        <w:sz w:val="20"/>
        <w:szCs w:val="20"/>
      </w:rPr>
      <w:t>4</w:t>
    </w:r>
    <w:r w:rsidRPr="00A9203D">
      <w:rPr>
        <w:rStyle w:val="PageNumber"/>
        <w:rFonts w:ascii="Myriad Pro" w:hAnsi="Myriad Pr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7DC27" w14:textId="77777777" w:rsidR="00931849" w:rsidRDefault="00931849" w:rsidP="00955EE2">
      <w:r>
        <w:separator/>
      </w:r>
    </w:p>
  </w:footnote>
  <w:footnote w:type="continuationSeparator" w:id="0">
    <w:p w14:paraId="6A256DA3" w14:textId="77777777" w:rsidR="00931849" w:rsidRDefault="00931849" w:rsidP="00955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9934B" w14:textId="676E592C" w:rsidR="002B5DAE" w:rsidRPr="00F47888" w:rsidRDefault="000B7F12" w:rsidP="00933932">
    <w:pPr>
      <w:pStyle w:val="Header"/>
      <w:pBdr>
        <w:bottom w:val="single" w:sz="4" w:space="1" w:color="auto"/>
      </w:pBdr>
      <w:tabs>
        <w:tab w:val="clear" w:pos="4536"/>
        <w:tab w:val="clear" w:pos="9072"/>
        <w:tab w:val="left" w:pos="2025"/>
      </w:tabs>
    </w:pPr>
    <w:r>
      <w:rPr>
        <w:rFonts w:ascii="Arial" w:hAnsi="Arial" w:cs="Arial"/>
        <w:noProof/>
      </w:rPr>
      <w:drawing>
        <wp:inline distT="0" distB="0" distL="0" distR="0" wp14:anchorId="23337119" wp14:editId="2A0A47B9">
          <wp:extent cx="1082040" cy="205740"/>
          <wp:effectExtent l="0" t="0" r="0" b="0"/>
          <wp:docPr id="2" name="Picture 2" descr="CARNET_LOG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NET_LOGO_SLOGAN"/>
                  <pic:cNvPicPr>
                    <a:picLocks noChangeAspect="1" noChangeArrowheads="1"/>
                  </pic:cNvPicPr>
                </pic:nvPicPr>
                <pic:blipFill>
                  <a:blip r:embed="rId1">
                    <a:extLst>
                      <a:ext uri="{28A0092B-C50C-407E-A947-70E740481C1C}">
                        <a14:useLocalDpi xmlns:a14="http://schemas.microsoft.com/office/drawing/2010/main" val="0"/>
                      </a:ext>
                    </a:extLst>
                  </a:blip>
                  <a:srcRect b="38182"/>
                  <a:stretch>
                    <a:fillRect/>
                  </a:stretch>
                </pic:blipFill>
                <pic:spPr bwMode="auto">
                  <a:xfrm>
                    <a:off x="0" y="0"/>
                    <a:ext cx="1082040" cy="205740"/>
                  </a:xfrm>
                  <a:prstGeom prst="rect">
                    <a:avLst/>
                  </a:prstGeom>
                  <a:noFill/>
                  <a:ln>
                    <a:noFill/>
                  </a:ln>
                </pic:spPr>
              </pic:pic>
            </a:graphicData>
          </a:graphic>
        </wp:inline>
      </w:drawing>
    </w:r>
    <w:r w:rsidR="002B5DA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F6887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decimal"/>
      <w:lvlText w:val="2.%1."/>
      <w:lvlJc w:val="left"/>
      <w:pPr>
        <w:tabs>
          <w:tab w:val="num" w:pos="720"/>
        </w:tabs>
        <w:ind w:left="720" w:hanging="360"/>
      </w:pPr>
      <w:rPr>
        <w:rFonts w:cs="Times New Roman"/>
      </w:rPr>
    </w:lvl>
    <w:lvl w:ilvl="1" w:tplc="000012DB">
      <w:start w:val="1"/>
      <w:numFmt w:val="decimal"/>
      <w:lvlText w:val="%2"/>
      <w:lvlJc w:val="left"/>
      <w:pPr>
        <w:tabs>
          <w:tab w:val="num" w:pos="1440"/>
        </w:tabs>
        <w:ind w:left="1440" w:hanging="360"/>
      </w:pPr>
      <w:rPr>
        <w:rFonts w:cs="Times New Roman"/>
      </w:rPr>
    </w:lvl>
    <w:lvl w:ilvl="2" w:tplc="0000153C">
      <w:start w:val="1"/>
      <w:numFmt w:val="decimal"/>
      <w:lvlText w:val="2.1.%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47"/>
    <w:multiLevelType w:val="hybridMultilevel"/>
    <w:tmpl w:val="000054DE"/>
    <w:lvl w:ilvl="0" w:tplc="000039B3">
      <w:start w:val="1"/>
      <w:numFmt w:val="decimal"/>
      <w:lvlText w:val="3.%1."/>
      <w:lvlJc w:val="left"/>
      <w:pPr>
        <w:tabs>
          <w:tab w:val="num" w:pos="720"/>
        </w:tabs>
        <w:ind w:left="720" w:hanging="360"/>
      </w:pPr>
      <w:rPr>
        <w:rFonts w:cs="Times New Roman"/>
      </w:rPr>
    </w:lvl>
    <w:lvl w:ilvl="1" w:tplc="00002D12">
      <w:start w:val="1"/>
      <w:numFmt w:val="decimal"/>
      <w:lvlText w:val="%2"/>
      <w:lvlJc w:val="left"/>
      <w:pPr>
        <w:tabs>
          <w:tab w:val="num" w:pos="1440"/>
        </w:tabs>
        <w:ind w:left="1440" w:hanging="360"/>
      </w:pPr>
      <w:rPr>
        <w:rFonts w:cs="Times New Roman"/>
      </w:rPr>
    </w:lvl>
    <w:lvl w:ilvl="2" w:tplc="0000074D">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649"/>
    <w:multiLevelType w:val="hybridMultilevel"/>
    <w:tmpl w:val="00006DF1"/>
    <w:lvl w:ilvl="0" w:tplc="00005AF1">
      <w:start w:val="2"/>
      <w:numFmt w:val="decimal"/>
      <w:lvlText w:val="%1."/>
      <w:lvlJc w:val="left"/>
      <w:pPr>
        <w:tabs>
          <w:tab w:val="num" w:pos="720"/>
        </w:tabs>
        <w:ind w:left="720" w:hanging="360"/>
      </w:pPr>
      <w:rPr>
        <w:rFonts w:cs="Times New Roman"/>
      </w:rPr>
    </w:lvl>
    <w:lvl w:ilvl="1" w:tplc="000041BB">
      <w:start w:val="1"/>
      <w:numFmt w:val="decimal"/>
      <w:lvlText w:val="%2"/>
      <w:lvlJc w:val="left"/>
      <w:pPr>
        <w:tabs>
          <w:tab w:val="num" w:pos="1440"/>
        </w:tabs>
        <w:ind w:left="1440" w:hanging="360"/>
      </w:pPr>
      <w:rPr>
        <w:rFonts w:cs="Times New Roman"/>
      </w:rPr>
    </w:lvl>
    <w:lvl w:ilvl="2" w:tplc="000026E9">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2CD6"/>
    <w:multiLevelType w:val="hybridMultilevel"/>
    <w:tmpl w:val="000072AE"/>
    <w:lvl w:ilvl="0" w:tplc="00006952">
      <w:start w:val="1"/>
      <w:numFmt w:val="decimal"/>
      <w:lvlText w:val="[%1]"/>
      <w:lvlJc w:val="left"/>
      <w:pPr>
        <w:tabs>
          <w:tab w:val="num" w:pos="720"/>
        </w:tabs>
        <w:ind w:left="720" w:hanging="360"/>
      </w:pPr>
      <w:rPr>
        <w:rFonts w:cs="Times New Roman"/>
      </w:rPr>
    </w:lvl>
    <w:lvl w:ilvl="1" w:tplc="00005F90">
      <w:start w:val="1"/>
      <w:numFmt w:val="bullet"/>
      <w:lvlText w:val="&lt;"/>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05E"/>
    <w:multiLevelType w:val="hybridMultilevel"/>
    <w:tmpl w:val="0000440D"/>
    <w:lvl w:ilvl="0" w:tplc="0000491C">
      <w:start w:val="3"/>
      <w:numFmt w:val="decimal"/>
      <w:lvlText w:val="%1."/>
      <w:lvlJc w:val="left"/>
      <w:pPr>
        <w:tabs>
          <w:tab w:val="num" w:pos="720"/>
        </w:tabs>
        <w:ind w:left="720" w:hanging="360"/>
      </w:pPr>
      <w:rPr>
        <w:rFonts w:cs="Times New Roman"/>
      </w:rPr>
    </w:lvl>
    <w:lvl w:ilvl="1" w:tplc="00004D06">
      <w:start w:val="1"/>
      <w:numFmt w:val="decimal"/>
      <w:lvlText w:val="%2"/>
      <w:lvlJc w:val="left"/>
      <w:pPr>
        <w:tabs>
          <w:tab w:val="num" w:pos="1440"/>
        </w:tabs>
        <w:ind w:left="1440" w:hanging="360"/>
      </w:pPr>
      <w:rPr>
        <w:rFonts w:cs="Times New Roman"/>
      </w:rPr>
    </w:lvl>
    <w:lvl w:ilvl="2" w:tplc="00004DB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3D6C"/>
    <w:multiLevelType w:val="hybridMultilevel"/>
    <w:tmpl w:val="00002CD6"/>
    <w:lvl w:ilvl="0" w:tplc="000072AE">
      <w:start w:val="1"/>
      <w:numFmt w:val="decimal"/>
      <w:lvlText w:val="1.%1."/>
      <w:lvlJc w:val="left"/>
      <w:pPr>
        <w:tabs>
          <w:tab w:val="num" w:pos="720"/>
        </w:tabs>
        <w:ind w:left="720" w:hanging="360"/>
      </w:pPr>
      <w:rPr>
        <w:rFonts w:cs="Times New Roman"/>
      </w:rPr>
    </w:lvl>
    <w:lvl w:ilvl="1" w:tplc="00006952">
      <w:start w:val="1"/>
      <w:numFmt w:val="decimal"/>
      <w:lvlText w:val="%2"/>
      <w:lvlJc w:val="left"/>
      <w:pPr>
        <w:tabs>
          <w:tab w:val="num" w:pos="1440"/>
        </w:tabs>
        <w:ind w:left="1440" w:hanging="360"/>
      </w:pPr>
      <w:rPr>
        <w:rFonts w:cs="Times New Roman"/>
      </w:rPr>
    </w:lvl>
    <w:lvl w:ilvl="2" w:tplc="00005F90">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4D06"/>
    <w:multiLevelType w:val="hybridMultilevel"/>
    <w:tmpl w:val="00004DB7"/>
    <w:lvl w:ilvl="0" w:tplc="00001547">
      <w:start w:val="1"/>
      <w:numFmt w:val="bullet"/>
      <w:lvlText w:val="•"/>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7E87"/>
    <w:multiLevelType w:val="hybridMultilevel"/>
    <w:tmpl w:val="0000390C"/>
    <w:lvl w:ilvl="0" w:tplc="00000F3E">
      <w:start w:val="1"/>
      <w:numFmt w:val="decimal"/>
      <w:lvlText w:val="%1"/>
      <w:lvlJc w:val="left"/>
      <w:pPr>
        <w:tabs>
          <w:tab w:val="num" w:pos="720"/>
        </w:tabs>
        <w:ind w:left="720" w:hanging="360"/>
      </w:pPr>
      <w:rPr>
        <w:rFonts w:cs="Times New Roman"/>
      </w:rPr>
    </w:lvl>
    <w:lvl w:ilvl="1" w:tplc="00000099">
      <w:start w:val="1"/>
      <w:numFmt w:val="decimal"/>
      <w:lvlText w:val="%2"/>
      <w:lvlJc w:val="left"/>
      <w:pPr>
        <w:tabs>
          <w:tab w:val="num" w:pos="1440"/>
        </w:tabs>
        <w:ind w:left="1440" w:hanging="360"/>
      </w:pPr>
      <w:rPr>
        <w:rFonts w:cs="Times New Roman"/>
      </w:rPr>
    </w:lvl>
    <w:lvl w:ilvl="2" w:tplc="00000124">
      <w:start w:val="10"/>
      <w:numFmt w:val="decimal"/>
      <w:lvlText w:val="2.1.%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A725D5"/>
    <w:multiLevelType w:val="hybridMultilevel"/>
    <w:tmpl w:val="0930C35C"/>
    <w:lvl w:ilvl="0" w:tplc="C680C068">
      <w:start w:val="3"/>
      <w:numFmt w:val="none"/>
      <w:lvlText w:val="3.1."/>
      <w:lvlJc w:val="left"/>
      <w:pPr>
        <w:tabs>
          <w:tab w:val="num" w:pos="1080"/>
        </w:tabs>
        <w:ind w:left="108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3C67020"/>
    <w:multiLevelType w:val="hybridMultilevel"/>
    <w:tmpl w:val="0060AD0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059669A6"/>
    <w:multiLevelType w:val="hybridMultilevel"/>
    <w:tmpl w:val="BAF25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8B36310"/>
    <w:multiLevelType w:val="hybridMultilevel"/>
    <w:tmpl w:val="75D60358"/>
    <w:lvl w:ilvl="0" w:tplc="A498E19A">
      <w:start w:val="3"/>
      <w:numFmt w:val="none"/>
      <w:lvlText w:val="%13.1.2."/>
      <w:lvlJc w:val="left"/>
      <w:pPr>
        <w:tabs>
          <w:tab w:val="num" w:pos="1430"/>
        </w:tabs>
        <w:ind w:left="143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9C57394"/>
    <w:multiLevelType w:val="multilevel"/>
    <w:tmpl w:val="00000BB3"/>
    <w:lvl w:ilvl="0">
      <w:start w:val="1"/>
      <w:numFmt w:val="decimal"/>
      <w:lvlText w:val="2.%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1.%3."/>
      <w:lvlJc w:val="left"/>
      <w:pPr>
        <w:tabs>
          <w:tab w:val="num" w:pos="2160"/>
        </w:tabs>
        <w:ind w:left="2160" w:hanging="360"/>
      </w:pPr>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DF17D04"/>
    <w:multiLevelType w:val="multilevel"/>
    <w:tmpl w:val="96246266"/>
    <w:lvl w:ilvl="0">
      <w:start w:val="3"/>
      <w:numFmt w:val="decimal"/>
      <w:lvlText w:val="%1."/>
      <w:lvlJc w:val="left"/>
      <w:pPr>
        <w:tabs>
          <w:tab w:val="num" w:pos="480"/>
        </w:tabs>
        <w:ind w:left="480" w:hanging="480"/>
      </w:pPr>
      <w:rPr>
        <w:rFonts w:cs="OfficinaSansTT" w:hint="default"/>
      </w:rPr>
    </w:lvl>
    <w:lvl w:ilvl="1">
      <w:start w:val="1"/>
      <w:numFmt w:val="decimal"/>
      <w:lvlText w:val="%1.%2."/>
      <w:lvlJc w:val="left"/>
      <w:pPr>
        <w:tabs>
          <w:tab w:val="num" w:pos="763"/>
        </w:tabs>
        <w:ind w:left="763" w:hanging="480"/>
      </w:pPr>
      <w:rPr>
        <w:rFonts w:cs="OfficinaSansTT" w:hint="default"/>
      </w:rPr>
    </w:lvl>
    <w:lvl w:ilvl="2">
      <w:start w:val="1"/>
      <w:numFmt w:val="decimal"/>
      <w:lvlText w:val="%1.%2.%3."/>
      <w:lvlJc w:val="left"/>
      <w:pPr>
        <w:tabs>
          <w:tab w:val="num" w:pos="1286"/>
        </w:tabs>
        <w:ind w:left="1286" w:hanging="720"/>
      </w:pPr>
      <w:rPr>
        <w:rFonts w:cs="OfficinaSansTT" w:hint="default"/>
      </w:rPr>
    </w:lvl>
    <w:lvl w:ilvl="3">
      <w:start w:val="1"/>
      <w:numFmt w:val="decimal"/>
      <w:lvlText w:val="%1.%2.%3.%4."/>
      <w:lvlJc w:val="left"/>
      <w:pPr>
        <w:tabs>
          <w:tab w:val="num" w:pos="1569"/>
        </w:tabs>
        <w:ind w:left="1569" w:hanging="720"/>
      </w:pPr>
      <w:rPr>
        <w:rFonts w:cs="OfficinaSansTT" w:hint="default"/>
      </w:rPr>
    </w:lvl>
    <w:lvl w:ilvl="4">
      <w:start w:val="1"/>
      <w:numFmt w:val="decimal"/>
      <w:lvlText w:val="%1.%2.%3.%4.%5."/>
      <w:lvlJc w:val="left"/>
      <w:pPr>
        <w:tabs>
          <w:tab w:val="num" w:pos="2212"/>
        </w:tabs>
        <w:ind w:left="2212" w:hanging="1080"/>
      </w:pPr>
      <w:rPr>
        <w:rFonts w:cs="OfficinaSansTT" w:hint="default"/>
      </w:rPr>
    </w:lvl>
    <w:lvl w:ilvl="5">
      <w:start w:val="1"/>
      <w:numFmt w:val="decimal"/>
      <w:lvlText w:val="%1.%2.%3.%4.%5.%6."/>
      <w:lvlJc w:val="left"/>
      <w:pPr>
        <w:tabs>
          <w:tab w:val="num" w:pos="2495"/>
        </w:tabs>
        <w:ind w:left="2495" w:hanging="1080"/>
      </w:pPr>
      <w:rPr>
        <w:rFonts w:cs="OfficinaSansTT" w:hint="default"/>
      </w:rPr>
    </w:lvl>
    <w:lvl w:ilvl="6">
      <w:start w:val="1"/>
      <w:numFmt w:val="decimal"/>
      <w:lvlText w:val="%1.%2.%3.%4.%5.%6.%7."/>
      <w:lvlJc w:val="left"/>
      <w:pPr>
        <w:tabs>
          <w:tab w:val="num" w:pos="3138"/>
        </w:tabs>
        <w:ind w:left="3138" w:hanging="1440"/>
      </w:pPr>
      <w:rPr>
        <w:rFonts w:cs="OfficinaSansTT" w:hint="default"/>
      </w:rPr>
    </w:lvl>
    <w:lvl w:ilvl="7">
      <w:start w:val="1"/>
      <w:numFmt w:val="decimal"/>
      <w:lvlText w:val="%1.%2.%3.%4.%5.%6.%7.%8."/>
      <w:lvlJc w:val="left"/>
      <w:pPr>
        <w:tabs>
          <w:tab w:val="num" w:pos="3421"/>
        </w:tabs>
        <w:ind w:left="3421" w:hanging="1440"/>
      </w:pPr>
      <w:rPr>
        <w:rFonts w:cs="OfficinaSansTT" w:hint="default"/>
      </w:rPr>
    </w:lvl>
    <w:lvl w:ilvl="8">
      <w:start w:val="1"/>
      <w:numFmt w:val="decimal"/>
      <w:lvlText w:val="%1.%2.%3.%4.%5.%6.%7.%8.%9."/>
      <w:lvlJc w:val="left"/>
      <w:pPr>
        <w:tabs>
          <w:tab w:val="num" w:pos="3704"/>
        </w:tabs>
        <w:ind w:left="3704" w:hanging="1440"/>
      </w:pPr>
      <w:rPr>
        <w:rFonts w:cs="OfficinaSansTT" w:hint="default"/>
      </w:rPr>
    </w:lvl>
  </w:abstractNum>
  <w:abstractNum w:abstractNumId="18" w15:restartNumberingAfterBreak="0">
    <w:nsid w:val="18EE20DD"/>
    <w:multiLevelType w:val="multilevel"/>
    <w:tmpl w:val="00000BB3"/>
    <w:lvl w:ilvl="0">
      <w:start w:val="1"/>
      <w:numFmt w:val="decimal"/>
      <w:lvlText w:val="2.%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1.%3."/>
      <w:lvlJc w:val="left"/>
      <w:pPr>
        <w:tabs>
          <w:tab w:val="num" w:pos="2160"/>
        </w:tabs>
        <w:ind w:left="2160" w:hanging="360"/>
      </w:pPr>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5F028C7"/>
    <w:multiLevelType w:val="multilevel"/>
    <w:tmpl w:val="59CE857C"/>
    <w:lvl w:ilvl="0">
      <w:start w:val="3"/>
      <w:numFmt w:val="none"/>
      <w:lvlText w:val="3.1."/>
      <w:lvlJc w:val="left"/>
      <w:pPr>
        <w:tabs>
          <w:tab w:val="num" w:pos="1070"/>
        </w:tabs>
        <w:ind w:left="1070" w:hanging="360"/>
      </w:pPr>
      <w:rPr>
        <w:rFonts w:cs="Times New Roman" w:hint="default"/>
      </w:rPr>
    </w:lvl>
    <w:lvl w:ilvl="1">
      <w:start w:val="3"/>
      <w:numFmt w:val="none"/>
      <w:lvlText w:val="3.1.1."/>
      <w:lvlJc w:val="left"/>
      <w:pPr>
        <w:tabs>
          <w:tab w:val="num" w:pos="1430"/>
        </w:tabs>
        <w:ind w:left="1430" w:hanging="360"/>
      </w:pPr>
      <w:rPr>
        <w:rFonts w:cs="Times New Roman" w:hint="default"/>
      </w:rPr>
    </w:lvl>
    <w:lvl w:ilvl="2">
      <w:start w:val="1"/>
      <w:numFmt w:val="lowerRoman"/>
      <w:lvlText w:val="%3."/>
      <w:lvlJc w:val="right"/>
      <w:pPr>
        <w:tabs>
          <w:tab w:val="num" w:pos="2150"/>
        </w:tabs>
        <w:ind w:left="2150" w:hanging="180"/>
      </w:pPr>
      <w:rPr>
        <w:rFonts w:cs="Times New Roman"/>
      </w:rPr>
    </w:lvl>
    <w:lvl w:ilvl="3">
      <w:start w:val="1"/>
      <w:numFmt w:val="decimal"/>
      <w:lvlText w:val="%4."/>
      <w:lvlJc w:val="left"/>
      <w:pPr>
        <w:tabs>
          <w:tab w:val="num" w:pos="2870"/>
        </w:tabs>
        <w:ind w:left="2870" w:hanging="360"/>
      </w:pPr>
      <w:rPr>
        <w:rFonts w:cs="Times New Roman"/>
      </w:rPr>
    </w:lvl>
    <w:lvl w:ilvl="4">
      <w:start w:val="1"/>
      <w:numFmt w:val="lowerLetter"/>
      <w:lvlText w:val="%5."/>
      <w:lvlJc w:val="left"/>
      <w:pPr>
        <w:tabs>
          <w:tab w:val="num" w:pos="3590"/>
        </w:tabs>
        <w:ind w:left="3590" w:hanging="360"/>
      </w:pPr>
      <w:rPr>
        <w:rFonts w:cs="Times New Roman"/>
      </w:rPr>
    </w:lvl>
    <w:lvl w:ilvl="5">
      <w:start w:val="1"/>
      <w:numFmt w:val="lowerRoman"/>
      <w:lvlText w:val="%6."/>
      <w:lvlJc w:val="right"/>
      <w:pPr>
        <w:tabs>
          <w:tab w:val="num" w:pos="4310"/>
        </w:tabs>
        <w:ind w:left="4310" w:hanging="180"/>
      </w:pPr>
      <w:rPr>
        <w:rFonts w:cs="Times New Roman"/>
      </w:rPr>
    </w:lvl>
    <w:lvl w:ilvl="6">
      <w:start w:val="1"/>
      <w:numFmt w:val="decimal"/>
      <w:lvlText w:val="%7."/>
      <w:lvlJc w:val="left"/>
      <w:pPr>
        <w:tabs>
          <w:tab w:val="num" w:pos="5030"/>
        </w:tabs>
        <w:ind w:left="5030" w:hanging="360"/>
      </w:pPr>
      <w:rPr>
        <w:rFonts w:cs="Times New Roman"/>
      </w:rPr>
    </w:lvl>
    <w:lvl w:ilvl="7">
      <w:start w:val="1"/>
      <w:numFmt w:val="lowerLetter"/>
      <w:lvlText w:val="%8."/>
      <w:lvlJc w:val="left"/>
      <w:pPr>
        <w:tabs>
          <w:tab w:val="num" w:pos="5750"/>
        </w:tabs>
        <w:ind w:left="5750" w:hanging="360"/>
      </w:pPr>
      <w:rPr>
        <w:rFonts w:cs="Times New Roman"/>
      </w:rPr>
    </w:lvl>
    <w:lvl w:ilvl="8">
      <w:start w:val="1"/>
      <w:numFmt w:val="lowerRoman"/>
      <w:lvlText w:val="%9."/>
      <w:lvlJc w:val="right"/>
      <w:pPr>
        <w:tabs>
          <w:tab w:val="num" w:pos="6470"/>
        </w:tabs>
        <w:ind w:left="6470" w:hanging="180"/>
      </w:pPr>
      <w:rPr>
        <w:rFonts w:cs="Times New Roman"/>
      </w:rPr>
    </w:lvl>
  </w:abstractNum>
  <w:abstractNum w:abstractNumId="20" w15:restartNumberingAfterBreak="0">
    <w:nsid w:val="333E0340"/>
    <w:multiLevelType w:val="multilevel"/>
    <w:tmpl w:val="AE78B730"/>
    <w:lvl w:ilvl="0">
      <w:start w:val="1"/>
      <w:numFmt w:val="decimal"/>
      <w:lvlText w:val="%1."/>
      <w:lvlJc w:val="left"/>
      <w:pPr>
        <w:ind w:left="360" w:hanging="360"/>
      </w:pPr>
      <w:rPr>
        <w:b/>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6"/>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21" w15:restartNumberingAfterBreak="0">
    <w:nsid w:val="383F196E"/>
    <w:multiLevelType w:val="multilevel"/>
    <w:tmpl w:val="00000BB3"/>
    <w:lvl w:ilvl="0">
      <w:start w:val="1"/>
      <w:numFmt w:val="decimal"/>
      <w:lvlText w:val="2.%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1.%3."/>
      <w:lvlJc w:val="left"/>
      <w:pPr>
        <w:tabs>
          <w:tab w:val="num" w:pos="2160"/>
        </w:tabs>
        <w:ind w:left="2160" w:hanging="360"/>
      </w:pPr>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8E14115"/>
    <w:multiLevelType w:val="hybridMultilevel"/>
    <w:tmpl w:val="28BAF5AE"/>
    <w:lvl w:ilvl="0" w:tplc="CE7E7510">
      <w:start w:val="3"/>
      <w:numFmt w:val="decimal"/>
      <w:lvlText w:val="2.%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130D60"/>
    <w:multiLevelType w:val="multilevel"/>
    <w:tmpl w:val="D3146550"/>
    <w:lvl w:ilvl="0">
      <w:start w:val="3"/>
      <w:numFmt w:val="none"/>
      <w:lvlText w:val="3.1."/>
      <w:lvlJc w:val="left"/>
      <w:pPr>
        <w:tabs>
          <w:tab w:val="num" w:pos="1070"/>
        </w:tabs>
        <w:ind w:left="1070" w:hanging="360"/>
      </w:pPr>
      <w:rPr>
        <w:rFonts w:cs="Times New Roman" w:hint="default"/>
      </w:rPr>
    </w:lvl>
    <w:lvl w:ilvl="1">
      <w:start w:val="2"/>
      <w:numFmt w:val="decimal"/>
      <w:lvlText w:val="3.1.%2."/>
      <w:lvlJc w:val="left"/>
      <w:pPr>
        <w:tabs>
          <w:tab w:val="num" w:pos="1070"/>
        </w:tabs>
        <w:ind w:left="1070" w:hanging="360"/>
      </w:pPr>
      <w:rPr>
        <w:rFonts w:cs="Times New Roman" w:hint="default"/>
      </w:rPr>
    </w:lvl>
    <w:lvl w:ilvl="2">
      <w:start w:val="1"/>
      <w:numFmt w:val="lowerRoman"/>
      <w:lvlText w:val="%3."/>
      <w:lvlJc w:val="right"/>
      <w:pPr>
        <w:tabs>
          <w:tab w:val="num" w:pos="2150"/>
        </w:tabs>
        <w:ind w:left="2150" w:hanging="180"/>
      </w:pPr>
      <w:rPr>
        <w:rFonts w:cs="Times New Roman"/>
      </w:rPr>
    </w:lvl>
    <w:lvl w:ilvl="3">
      <w:start w:val="1"/>
      <w:numFmt w:val="decimal"/>
      <w:lvlText w:val="%4."/>
      <w:lvlJc w:val="left"/>
      <w:pPr>
        <w:tabs>
          <w:tab w:val="num" w:pos="2870"/>
        </w:tabs>
        <w:ind w:left="2870" w:hanging="360"/>
      </w:pPr>
      <w:rPr>
        <w:rFonts w:cs="Times New Roman"/>
      </w:rPr>
    </w:lvl>
    <w:lvl w:ilvl="4">
      <w:start w:val="1"/>
      <w:numFmt w:val="lowerLetter"/>
      <w:lvlText w:val="%5."/>
      <w:lvlJc w:val="left"/>
      <w:pPr>
        <w:tabs>
          <w:tab w:val="num" w:pos="3590"/>
        </w:tabs>
        <w:ind w:left="3590" w:hanging="360"/>
      </w:pPr>
      <w:rPr>
        <w:rFonts w:cs="Times New Roman"/>
      </w:rPr>
    </w:lvl>
    <w:lvl w:ilvl="5">
      <w:start w:val="1"/>
      <w:numFmt w:val="lowerRoman"/>
      <w:lvlText w:val="%6."/>
      <w:lvlJc w:val="right"/>
      <w:pPr>
        <w:tabs>
          <w:tab w:val="num" w:pos="4310"/>
        </w:tabs>
        <w:ind w:left="4310" w:hanging="180"/>
      </w:pPr>
      <w:rPr>
        <w:rFonts w:cs="Times New Roman"/>
      </w:rPr>
    </w:lvl>
    <w:lvl w:ilvl="6">
      <w:start w:val="1"/>
      <w:numFmt w:val="decimal"/>
      <w:lvlText w:val="%7."/>
      <w:lvlJc w:val="left"/>
      <w:pPr>
        <w:tabs>
          <w:tab w:val="num" w:pos="5030"/>
        </w:tabs>
        <w:ind w:left="5030" w:hanging="360"/>
      </w:pPr>
      <w:rPr>
        <w:rFonts w:cs="Times New Roman"/>
      </w:rPr>
    </w:lvl>
    <w:lvl w:ilvl="7">
      <w:start w:val="1"/>
      <w:numFmt w:val="lowerLetter"/>
      <w:lvlText w:val="%8."/>
      <w:lvlJc w:val="left"/>
      <w:pPr>
        <w:tabs>
          <w:tab w:val="num" w:pos="5750"/>
        </w:tabs>
        <w:ind w:left="5750" w:hanging="360"/>
      </w:pPr>
      <w:rPr>
        <w:rFonts w:cs="Times New Roman"/>
      </w:rPr>
    </w:lvl>
    <w:lvl w:ilvl="8">
      <w:start w:val="1"/>
      <w:numFmt w:val="lowerRoman"/>
      <w:lvlText w:val="%9."/>
      <w:lvlJc w:val="right"/>
      <w:pPr>
        <w:tabs>
          <w:tab w:val="num" w:pos="6470"/>
        </w:tabs>
        <w:ind w:left="6470" w:hanging="180"/>
      </w:pPr>
      <w:rPr>
        <w:rFonts w:cs="Times New Roman"/>
      </w:rPr>
    </w:lvl>
  </w:abstractNum>
  <w:abstractNum w:abstractNumId="24" w15:restartNumberingAfterBreak="0">
    <w:nsid w:val="4E2061EF"/>
    <w:multiLevelType w:val="multilevel"/>
    <w:tmpl w:val="98C8A8D8"/>
    <w:lvl w:ilvl="0">
      <w:start w:val="3"/>
      <w:numFmt w:val="none"/>
      <w:lvlText w:val="3.1."/>
      <w:lvlJc w:val="left"/>
      <w:pPr>
        <w:tabs>
          <w:tab w:val="num" w:pos="1070"/>
        </w:tabs>
        <w:ind w:left="1070" w:hanging="360"/>
      </w:pPr>
      <w:rPr>
        <w:rFonts w:cs="Times New Roman" w:hint="default"/>
      </w:rPr>
    </w:lvl>
    <w:lvl w:ilvl="1">
      <w:start w:val="3"/>
      <w:numFmt w:val="none"/>
      <w:lvlText w:val="%23.1.2."/>
      <w:lvlJc w:val="left"/>
      <w:pPr>
        <w:tabs>
          <w:tab w:val="num" w:pos="1430"/>
        </w:tabs>
        <w:ind w:left="1430" w:hanging="360"/>
      </w:pPr>
      <w:rPr>
        <w:rFonts w:cs="Times New Roman" w:hint="default"/>
      </w:rPr>
    </w:lvl>
    <w:lvl w:ilvl="2">
      <w:start w:val="1"/>
      <w:numFmt w:val="lowerRoman"/>
      <w:lvlText w:val="%3."/>
      <w:lvlJc w:val="right"/>
      <w:pPr>
        <w:tabs>
          <w:tab w:val="num" w:pos="2150"/>
        </w:tabs>
        <w:ind w:left="2150" w:hanging="180"/>
      </w:pPr>
      <w:rPr>
        <w:rFonts w:cs="Times New Roman"/>
      </w:rPr>
    </w:lvl>
    <w:lvl w:ilvl="3">
      <w:start w:val="1"/>
      <w:numFmt w:val="decimal"/>
      <w:lvlText w:val="%4."/>
      <w:lvlJc w:val="left"/>
      <w:pPr>
        <w:tabs>
          <w:tab w:val="num" w:pos="2870"/>
        </w:tabs>
        <w:ind w:left="2870" w:hanging="360"/>
      </w:pPr>
      <w:rPr>
        <w:rFonts w:cs="Times New Roman"/>
      </w:rPr>
    </w:lvl>
    <w:lvl w:ilvl="4">
      <w:start w:val="1"/>
      <w:numFmt w:val="lowerLetter"/>
      <w:lvlText w:val="%5."/>
      <w:lvlJc w:val="left"/>
      <w:pPr>
        <w:tabs>
          <w:tab w:val="num" w:pos="3590"/>
        </w:tabs>
        <w:ind w:left="3590" w:hanging="360"/>
      </w:pPr>
      <w:rPr>
        <w:rFonts w:cs="Times New Roman"/>
      </w:rPr>
    </w:lvl>
    <w:lvl w:ilvl="5">
      <w:start w:val="1"/>
      <w:numFmt w:val="lowerRoman"/>
      <w:lvlText w:val="%6."/>
      <w:lvlJc w:val="right"/>
      <w:pPr>
        <w:tabs>
          <w:tab w:val="num" w:pos="4310"/>
        </w:tabs>
        <w:ind w:left="4310" w:hanging="180"/>
      </w:pPr>
      <w:rPr>
        <w:rFonts w:cs="Times New Roman"/>
      </w:rPr>
    </w:lvl>
    <w:lvl w:ilvl="6">
      <w:start w:val="1"/>
      <w:numFmt w:val="decimal"/>
      <w:lvlText w:val="%7."/>
      <w:lvlJc w:val="left"/>
      <w:pPr>
        <w:tabs>
          <w:tab w:val="num" w:pos="5030"/>
        </w:tabs>
        <w:ind w:left="5030" w:hanging="360"/>
      </w:pPr>
      <w:rPr>
        <w:rFonts w:cs="Times New Roman"/>
      </w:rPr>
    </w:lvl>
    <w:lvl w:ilvl="7">
      <w:start w:val="1"/>
      <w:numFmt w:val="lowerLetter"/>
      <w:lvlText w:val="%8."/>
      <w:lvlJc w:val="left"/>
      <w:pPr>
        <w:tabs>
          <w:tab w:val="num" w:pos="5750"/>
        </w:tabs>
        <w:ind w:left="5750" w:hanging="360"/>
      </w:pPr>
      <w:rPr>
        <w:rFonts w:cs="Times New Roman"/>
      </w:rPr>
    </w:lvl>
    <w:lvl w:ilvl="8">
      <w:start w:val="1"/>
      <w:numFmt w:val="lowerRoman"/>
      <w:lvlText w:val="%9."/>
      <w:lvlJc w:val="right"/>
      <w:pPr>
        <w:tabs>
          <w:tab w:val="num" w:pos="6470"/>
        </w:tabs>
        <w:ind w:left="6470" w:hanging="180"/>
      </w:pPr>
      <w:rPr>
        <w:rFonts w:cs="Times New Roman"/>
      </w:rPr>
    </w:lvl>
  </w:abstractNum>
  <w:abstractNum w:abstractNumId="25" w15:restartNumberingAfterBreak="0">
    <w:nsid w:val="53F812BD"/>
    <w:multiLevelType w:val="hybridMultilevel"/>
    <w:tmpl w:val="FEEEBA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55979F8"/>
    <w:multiLevelType w:val="multilevel"/>
    <w:tmpl w:val="D3146550"/>
    <w:lvl w:ilvl="0">
      <w:start w:val="3"/>
      <w:numFmt w:val="none"/>
      <w:lvlText w:val="3.1."/>
      <w:lvlJc w:val="left"/>
      <w:pPr>
        <w:tabs>
          <w:tab w:val="num" w:pos="1070"/>
        </w:tabs>
        <w:ind w:left="1070" w:hanging="360"/>
      </w:pPr>
      <w:rPr>
        <w:rFonts w:cs="Times New Roman" w:hint="default"/>
      </w:rPr>
    </w:lvl>
    <w:lvl w:ilvl="1">
      <w:start w:val="2"/>
      <w:numFmt w:val="decimal"/>
      <w:lvlText w:val="3.1.%2."/>
      <w:lvlJc w:val="left"/>
      <w:pPr>
        <w:tabs>
          <w:tab w:val="num" w:pos="1070"/>
        </w:tabs>
        <w:ind w:left="1070" w:hanging="360"/>
      </w:pPr>
      <w:rPr>
        <w:rFonts w:cs="Times New Roman" w:hint="default"/>
      </w:rPr>
    </w:lvl>
    <w:lvl w:ilvl="2">
      <w:start w:val="1"/>
      <w:numFmt w:val="lowerRoman"/>
      <w:lvlText w:val="%3."/>
      <w:lvlJc w:val="right"/>
      <w:pPr>
        <w:tabs>
          <w:tab w:val="num" w:pos="2150"/>
        </w:tabs>
        <w:ind w:left="2150" w:hanging="180"/>
      </w:pPr>
      <w:rPr>
        <w:rFonts w:cs="Times New Roman"/>
      </w:rPr>
    </w:lvl>
    <w:lvl w:ilvl="3">
      <w:start w:val="1"/>
      <w:numFmt w:val="decimal"/>
      <w:lvlText w:val="%4."/>
      <w:lvlJc w:val="left"/>
      <w:pPr>
        <w:tabs>
          <w:tab w:val="num" w:pos="2870"/>
        </w:tabs>
        <w:ind w:left="2870" w:hanging="360"/>
      </w:pPr>
      <w:rPr>
        <w:rFonts w:cs="Times New Roman"/>
      </w:rPr>
    </w:lvl>
    <w:lvl w:ilvl="4">
      <w:start w:val="1"/>
      <w:numFmt w:val="lowerLetter"/>
      <w:lvlText w:val="%5."/>
      <w:lvlJc w:val="left"/>
      <w:pPr>
        <w:tabs>
          <w:tab w:val="num" w:pos="3590"/>
        </w:tabs>
        <w:ind w:left="3590" w:hanging="360"/>
      </w:pPr>
      <w:rPr>
        <w:rFonts w:cs="Times New Roman"/>
      </w:rPr>
    </w:lvl>
    <w:lvl w:ilvl="5">
      <w:start w:val="1"/>
      <w:numFmt w:val="lowerRoman"/>
      <w:lvlText w:val="%6."/>
      <w:lvlJc w:val="right"/>
      <w:pPr>
        <w:tabs>
          <w:tab w:val="num" w:pos="4310"/>
        </w:tabs>
        <w:ind w:left="4310" w:hanging="180"/>
      </w:pPr>
      <w:rPr>
        <w:rFonts w:cs="Times New Roman"/>
      </w:rPr>
    </w:lvl>
    <w:lvl w:ilvl="6">
      <w:start w:val="1"/>
      <w:numFmt w:val="decimal"/>
      <w:lvlText w:val="%7."/>
      <w:lvlJc w:val="left"/>
      <w:pPr>
        <w:tabs>
          <w:tab w:val="num" w:pos="5030"/>
        </w:tabs>
        <w:ind w:left="5030" w:hanging="360"/>
      </w:pPr>
      <w:rPr>
        <w:rFonts w:cs="Times New Roman"/>
      </w:rPr>
    </w:lvl>
    <w:lvl w:ilvl="7">
      <w:start w:val="1"/>
      <w:numFmt w:val="lowerLetter"/>
      <w:lvlText w:val="%8."/>
      <w:lvlJc w:val="left"/>
      <w:pPr>
        <w:tabs>
          <w:tab w:val="num" w:pos="5750"/>
        </w:tabs>
        <w:ind w:left="5750" w:hanging="360"/>
      </w:pPr>
      <w:rPr>
        <w:rFonts w:cs="Times New Roman"/>
      </w:rPr>
    </w:lvl>
    <w:lvl w:ilvl="8">
      <w:start w:val="1"/>
      <w:numFmt w:val="lowerRoman"/>
      <w:lvlText w:val="%9."/>
      <w:lvlJc w:val="right"/>
      <w:pPr>
        <w:tabs>
          <w:tab w:val="num" w:pos="6470"/>
        </w:tabs>
        <w:ind w:left="6470" w:hanging="180"/>
      </w:pPr>
      <w:rPr>
        <w:rFonts w:cs="Times New Roman"/>
      </w:rPr>
    </w:lvl>
  </w:abstractNum>
  <w:abstractNum w:abstractNumId="27" w15:restartNumberingAfterBreak="0">
    <w:nsid w:val="56456645"/>
    <w:multiLevelType w:val="hybridMultilevel"/>
    <w:tmpl w:val="5050704C"/>
    <w:lvl w:ilvl="0" w:tplc="CE7E7510">
      <w:start w:val="3"/>
      <w:numFmt w:val="decimal"/>
      <w:lvlText w:val="2.%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6D90B91"/>
    <w:multiLevelType w:val="multilevel"/>
    <w:tmpl w:val="00000BB3"/>
    <w:lvl w:ilvl="0">
      <w:start w:val="1"/>
      <w:numFmt w:val="decimal"/>
      <w:lvlText w:val="2.%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1.%3."/>
      <w:lvlJc w:val="left"/>
      <w:pPr>
        <w:tabs>
          <w:tab w:val="num" w:pos="2160"/>
        </w:tabs>
        <w:ind w:left="2160" w:hanging="360"/>
      </w:pPr>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EF367C0"/>
    <w:multiLevelType w:val="multilevel"/>
    <w:tmpl w:val="00000BB3"/>
    <w:lvl w:ilvl="0">
      <w:start w:val="1"/>
      <w:numFmt w:val="decimal"/>
      <w:lvlText w:val="2.%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1.%3."/>
      <w:lvlJc w:val="left"/>
      <w:pPr>
        <w:tabs>
          <w:tab w:val="num" w:pos="2160"/>
        </w:tabs>
        <w:ind w:left="2160" w:hanging="360"/>
      </w:pPr>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FCA1E7E"/>
    <w:multiLevelType w:val="hybridMultilevel"/>
    <w:tmpl w:val="D3146550"/>
    <w:lvl w:ilvl="0" w:tplc="C680C068">
      <w:start w:val="3"/>
      <w:numFmt w:val="none"/>
      <w:lvlText w:val="3.1."/>
      <w:lvlJc w:val="left"/>
      <w:pPr>
        <w:tabs>
          <w:tab w:val="num" w:pos="1070"/>
        </w:tabs>
        <w:ind w:left="1070" w:hanging="360"/>
      </w:pPr>
      <w:rPr>
        <w:rFonts w:cs="Times New Roman" w:hint="default"/>
      </w:rPr>
    </w:lvl>
    <w:lvl w:ilvl="1" w:tplc="E9FA9F88">
      <w:start w:val="2"/>
      <w:numFmt w:val="decimal"/>
      <w:lvlText w:val="3.1.%2."/>
      <w:lvlJc w:val="left"/>
      <w:pPr>
        <w:tabs>
          <w:tab w:val="num" w:pos="1070"/>
        </w:tabs>
        <w:ind w:left="1070" w:hanging="360"/>
      </w:pPr>
      <w:rPr>
        <w:rFonts w:cs="Times New Roman" w:hint="default"/>
      </w:rPr>
    </w:lvl>
    <w:lvl w:ilvl="2" w:tplc="041A001B" w:tentative="1">
      <w:start w:val="1"/>
      <w:numFmt w:val="lowerRoman"/>
      <w:lvlText w:val="%3."/>
      <w:lvlJc w:val="right"/>
      <w:pPr>
        <w:tabs>
          <w:tab w:val="num" w:pos="2150"/>
        </w:tabs>
        <w:ind w:left="2150" w:hanging="180"/>
      </w:pPr>
      <w:rPr>
        <w:rFonts w:cs="Times New Roman"/>
      </w:rPr>
    </w:lvl>
    <w:lvl w:ilvl="3" w:tplc="041A000F" w:tentative="1">
      <w:start w:val="1"/>
      <w:numFmt w:val="decimal"/>
      <w:lvlText w:val="%4."/>
      <w:lvlJc w:val="left"/>
      <w:pPr>
        <w:tabs>
          <w:tab w:val="num" w:pos="2870"/>
        </w:tabs>
        <w:ind w:left="2870" w:hanging="360"/>
      </w:pPr>
      <w:rPr>
        <w:rFonts w:cs="Times New Roman"/>
      </w:rPr>
    </w:lvl>
    <w:lvl w:ilvl="4" w:tplc="041A0019" w:tentative="1">
      <w:start w:val="1"/>
      <w:numFmt w:val="lowerLetter"/>
      <w:lvlText w:val="%5."/>
      <w:lvlJc w:val="left"/>
      <w:pPr>
        <w:tabs>
          <w:tab w:val="num" w:pos="3590"/>
        </w:tabs>
        <w:ind w:left="3590" w:hanging="360"/>
      </w:pPr>
      <w:rPr>
        <w:rFonts w:cs="Times New Roman"/>
      </w:rPr>
    </w:lvl>
    <w:lvl w:ilvl="5" w:tplc="041A001B" w:tentative="1">
      <w:start w:val="1"/>
      <w:numFmt w:val="lowerRoman"/>
      <w:lvlText w:val="%6."/>
      <w:lvlJc w:val="right"/>
      <w:pPr>
        <w:tabs>
          <w:tab w:val="num" w:pos="4310"/>
        </w:tabs>
        <w:ind w:left="4310" w:hanging="180"/>
      </w:pPr>
      <w:rPr>
        <w:rFonts w:cs="Times New Roman"/>
      </w:rPr>
    </w:lvl>
    <w:lvl w:ilvl="6" w:tplc="041A000F" w:tentative="1">
      <w:start w:val="1"/>
      <w:numFmt w:val="decimal"/>
      <w:lvlText w:val="%7."/>
      <w:lvlJc w:val="left"/>
      <w:pPr>
        <w:tabs>
          <w:tab w:val="num" w:pos="5030"/>
        </w:tabs>
        <w:ind w:left="5030" w:hanging="360"/>
      </w:pPr>
      <w:rPr>
        <w:rFonts w:cs="Times New Roman"/>
      </w:rPr>
    </w:lvl>
    <w:lvl w:ilvl="7" w:tplc="041A0019" w:tentative="1">
      <w:start w:val="1"/>
      <w:numFmt w:val="lowerLetter"/>
      <w:lvlText w:val="%8."/>
      <w:lvlJc w:val="left"/>
      <w:pPr>
        <w:tabs>
          <w:tab w:val="num" w:pos="5750"/>
        </w:tabs>
        <w:ind w:left="5750" w:hanging="360"/>
      </w:pPr>
      <w:rPr>
        <w:rFonts w:cs="Times New Roman"/>
      </w:rPr>
    </w:lvl>
    <w:lvl w:ilvl="8" w:tplc="041A001B" w:tentative="1">
      <w:start w:val="1"/>
      <w:numFmt w:val="lowerRoman"/>
      <w:lvlText w:val="%9."/>
      <w:lvlJc w:val="right"/>
      <w:pPr>
        <w:tabs>
          <w:tab w:val="num" w:pos="6470"/>
        </w:tabs>
        <w:ind w:left="6470" w:hanging="180"/>
      </w:pPr>
      <w:rPr>
        <w:rFonts w:cs="Times New Roman"/>
      </w:rPr>
    </w:lvl>
  </w:abstractNum>
  <w:abstractNum w:abstractNumId="31" w15:restartNumberingAfterBreak="0">
    <w:nsid w:val="6DFC3CC7"/>
    <w:multiLevelType w:val="hybridMultilevel"/>
    <w:tmpl w:val="BB4AC0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CB566E"/>
    <w:multiLevelType w:val="hybridMultilevel"/>
    <w:tmpl w:val="B0EAB0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F077840"/>
    <w:multiLevelType w:val="hybridMultilevel"/>
    <w:tmpl w:val="F1BC7C26"/>
    <w:lvl w:ilvl="0" w:tplc="A498E19A">
      <w:start w:val="3"/>
      <w:numFmt w:val="none"/>
      <w:lvlText w:val="%13.1.2."/>
      <w:lvlJc w:val="left"/>
      <w:pPr>
        <w:tabs>
          <w:tab w:val="num" w:pos="1430"/>
        </w:tabs>
        <w:ind w:left="143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0"/>
  </w:num>
  <w:num w:numId="3">
    <w:abstractNumId w:val="5"/>
  </w:num>
  <w:num w:numId="4">
    <w:abstractNumId w:val="7"/>
  </w:num>
  <w:num w:numId="5">
    <w:abstractNumId w:val="4"/>
  </w:num>
  <w:num w:numId="6">
    <w:abstractNumId w:val="2"/>
  </w:num>
  <w:num w:numId="7">
    <w:abstractNumId w:val="11"/>
  </w:num>
  <w:num w:numId="8">
    <w:abstractNumId w:val="6"/>
  </w:num>
  <w:num w:numId="9">
    <w:abstractNumId w:val="3"/>
  </w:num>
  <w:num w:numId="10">
    <w:abstractNumId w:val="9"/>
  </w:num>
  <w:num w:numId="11">
    <w:abstractNumId w:val="8"/>
  </w:num>
  <w:num w:numId="12">
    <w:abstractNumId w:val="21"/>
  </w:num>
  <w:num w:numId="13">
    <w:abstractNumId w:val="22"/>
  </w:num>
  <w:num w:numId="14">
    <w:abstractNumId w:val="27"/>
  </w:num>
  <w:num w:numId="15">
    <w:abstractNumId w:val="12"/>
  </w:num>
  <w:num w:numId="16">
    <w:abstractNumId w:val="30"/>
  </w:num>
  <w:num w:numId="17">
    <w:abstractNumId w:val="19"/>
  </w:num>
  <w:num w:numId="18">
    <w:abstractNumId w:val="15"/>
  </w:num>
  <w:num w:numId="19">
    <w:abstractNumId w:val="33"/>
  </w:num>
  <w:num w:numId="20">
    <w:abstractNumId w:val="28"/>
  </w:num>
  <w:num w:numId="21">
    <w:abstractNumId w:val="24"/>
  </w:num>
  <w:num w:numId="22">
    <w:abstractNumId w:val="18"/>
  </w:num>
  <w:num w:numId="23">
    <w:abstractNumId w:val="16"/>
  </w:num>
  <w:num w:numId="24">
    <w:abstractNumId w:val="29"/>
  </w:num>
  <w:num w:numId="25">
    <w:abstractNumId w:val="26"/>
  </w:num>
  <w:num w:numId="26">
    <w:abstractNumId w:val="23"/>
  </w:num>
  <w:num w:numId="27">
    <w:abstractNumId w:val="17"/>
  </w:num>
  <w:num w:numId="28">
    <w:abstractNumId w:val="0"/>
  </w:num>
  <w:num w:numId="29">
    <w:abstractNumId w:val="20"/>
  </w:num>
  <w:num w:numId="30">
    <w:abstractNumId w:val="13"/>
  </w:num>
  <w:num w:numId="31">
    <w:abstractNumId w:val="14"/>
  </w:num>
  <w:num w:numId="32">
    <w:abstractNumId w:val="31"/>
  </w:num>
  <w:num w:numId="33">
    <w:abstractNumId w:val="3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EE2"/>
    <w:rsid w:val="000177BB"/>
    <w:rsid w:val="00022D8C"/>
    <w:rsid w:val="0003682D"/>
    <w:rsid w:val="00041DEE"/>
    <w:rsid w:val="0006306D"/>
    <w:rsid w:val="000A22AE"/>
    <w:rsid w:val="000B7F12"/>
    <w:rsid w:val="000C3F8E"/>
    <w:rsid w:val="000D0288"/>
    <w:rsid w:val="00114792"/>
    <w:rsid w:val="00121B3B"/>
    <w:rsid w:val="00124D09"/>
    <w:rsid w:val="0013614B"/>
    <w:rsid w:val="00136F4D"/>
    <w:rsid w:val="00142EDC"/>
    <w:rsid w:val="00151125"/>
    <w:rsid w:val="001513D0"/>
    <w:rsid w:val="00170691"/>
    <w:rsid w:val="00173F72"/>
    <w:rsid w:val="0019728D"/>
    <w:rsid w:val="001C5754"/>
    <w:rsid w:val="001D609F"/>
    <w:rsid w:val="0020796E"/>
    <w:rsid w:val="0021283E"/>
    <w:rsid w:val="00240044"/>
    <w:rsid w:val="002413AD"/>
    <w:rsid w:val="002660C9"/>
    <w:rsid w:val="0026705E"/>
    <w:rsid w:val="002811A2"/>
    <w:rsid w:val="002A7A15"/>
    <w:rsid w:val="002B1F66"/>
    <w:rsid w:val="002B5DAE"/>
    <w:rsid w:val="002E442A"/>
    <w:rsid w:val="002F065E"/>
    <w:rsid w:val="00340924"/>
    <w:rsid w:val="00393881"/>
    <w:rsid w:val="003A1290"/>
    <w:rsid w:val="003A2ED6"/>
    <w:rsid w:val="003C3C3C"/>
    <w:rsid w:val="003C3E4F"/>
    <w:rsid w:val="003C757B"/>
    <w:rsid w:val="003D5E55"/>
    <w:rsid w:val="00403A5B"/>
    <w:rsid w:val="004126F0"/>
    <w:rsid w:val="00413E46"/>
    <w:rsid w:val="00421F3C"/>
    <w:rsid w:val="004272F2"/>
    <w:rsid w:val="004333D2"/>
    <w:rsid w:val="0043707D"/>
    <w:rsid w:val="00440ABE"/>
    <w:rsid w:val="0044784B"/>
    <w:rsid w:val="00462714"/>
    <w:rsid w:val="00463B6E"/>
    <w:rsid w:val="00467A13"/>
    <w:rsid w:val="00492984"/>
    <w:rsid w:val="00493020"/>
    <w:rsid w:val="004A119F"/>
    <w:rsid w:val="004B1C22"/>
    <w:rsid w:val="004C74E1"/>
    <w:rsid w:val="004E2F13"/>
    <w:rsid w:val="00520B5E"/>
    <w:rsid w:val="00576C31"/>
    <w:rsid w:val="00583BD6"/>
    <w:rsid w:val="005871BC"/>
    <w:rsid w:val="00593A6B"/>
    <w:rsid w:val="00595E98"/>
    <w:rsid w:val="005A0D4C"/>
    <w:rsid w:val="005A32A6"/>
    <w:rsid w:val="005C013C"/>
    <w:rsid w:val="00611E47"/>
    <w:rsid w:val="006141E1"/>
    <w:rsid w:val="00624964"/>
    <w:rsid w:val="006322FB"/>
    <w:rsid w:val="00632B19"/>
    <w:rsid w:val="00633485"/>
    <w:rsid w:val="00644EC5"/>
    <w:rsid w:val="00656E3A"/>
    <w:rsid w:val="00676A26"/>
    <w:rsid w:val="006C5D91"/>
    <w:rsid w:val="006D5F47"/>
    <w:rsid w:val="006E1357"/>
    <w:rsid w:val="006E2614"/>
    <w:rsid w:val="006F0934"/>
    <w:rsid w:val="007069D4"/>
    <w:rsid w:val="00707B43"/>
    <w:rsid w:val="00756C56"/>
    <w:rsid w:val="00790A3E"/>
    <w:rsid w:val="007B2CE5"/>
    <w:rsid w:val="007B3135"/>
    <w:rsid w:val="007B6E89"/>
    <w:rsid w:val="007C3960"/>
    <w:rsid w:val="007E030A"/>
    <w:rsid w:val="008149E4"/>
    <w:rsid w:val="00837C53"/>
    <w:rsid w:val="00877255"/>
    <w:rsid w:val="008B71CD"/>
    <w:rsid w:val="008D6431"/>
    <w:rsid w:val="008E1907"/>
    <w:rsid w:val="008E5A7F"/>
    <w:rsid w:val="009214A3"/>
    <w:rsid w:val="00931849"/>
    <w:rsid w:val="00931CBA"/>
    <w:rsid w:val="00933932"/>
    <w:rsid w:val="0094051A"/>
    <w:rsid w:val="00940D9B"/>
    <w:rsid w:val="00955EE2"/>
    <w:rsid w:val="00967384"/>
    <w:rsid w:val="009C7475"/>
    <w:rsid w:val="009E5639"/>
    <w:rsid w:val="00A25C86"/>
    <w:rsid w:val="00A429AC"/>
    <w:rsid w:val="00A666B3"/>
    <w:rsid w:val="00A66D98"/>
    <w:rsid w:val="00A734C5"/>
    <w:rsid w:val="00A75F9C"/>
    <w:rsid w:val="00A90829"/>
    <w:rsid w:val="00A9203D"/>
    <w:rsid w:val="00AC170B"/>
    <w:rsid w:val="00AF5334"/>
    <w:rsid w:val="00B04992"/>
    <w:rsid w:val="00B139B8"/>
    <w:rsid w:val="00B5173B"/>
    <w:rsid w:val="00B54436"/>
    <w:rsid w:val="00B6753A"/>
    <w:rsid w:val="00B80E38"/>
    <w:rsid w:val="00B86C0A"/>
    <w:rsid w:val="00B9066E"/>
    <w:rsid w:val="00B96765"/>
    <w:rsid w:val="00B96E17"/>
    <w:rsid w:val="00BB33AF"/>
    <w:rsid w:val="00BB4F33"/>
    <w:rsid w:val="00BD2B88"/>
    <w:rsid w:val="00BF7DD7"/>
    <w:rsid w:val="00C162AD"/>
    <w:rsid w:val="00C20A56"/>
    <w:rsid w:val="00C572E2"/>
    <w:rsid w:val="00C63482"/>
    <w:rsid w:val="00C644DB"/>
    <w:rsid w:val="00C67369"/>
    <w:rsid w:val="00C75E88"/>
    <w:rsid w:val="00C77382"/>
    <w:rsid w:val="00C81499"/>
    <w:rsid w:val="00D35E61"/>
    <w:rsid w:val="00D47562"/>
    <w:rsid w:val="00D54BEC"/>
    <w:rsid w:val="00D8302A"/>
    <w:rsid w:val="00D968D1"/>
    <w:rsid w:val="00DE227E"/>
    <w:rsid w:val="00DE4485"/>
    <w:rsid w:val="00DF2192"/>
    <w:rsid w:val="00DF5AA1"/>
    <w:rsid w:val="00E11345"/>
    <w:rsid w:val="00E12039"/>
    <w:rsid w:val="00E26136"/>
    <w:rsid w:val="00E32751"/>
    <w:rsid w:val="00E44631"/>
    <w:rsid w:val="00E578AD"/>
    <w:rsid w:val="00E83E6B"/>
    <w:rsid w:val="00E8702A"/>
    <w:rsid w:val="00E9546E"/>
    <w:rsid w:val="00E965D0"/>
    <w:rsid w:val="00EA738D"/>
    <w:rsid w:val="00EB2554"/>
    <w:rsid w:val="00EB7A12"/>
    <w:rsid w:val="00ED1E99"/>
    <w:rsid w:val="00ED654B"/>
    <w:rsid w:val="00EE24E1"/>
    <w:rsid w:val="00F260AF"/>
    <w:rsid w:val="00F34397"/>
    <w:rsid w:val="00F47888"/>
    <w:rsid w:val="00F615E1"/>
    <w:rsid w:val="00F97BE4"/>
    <w:rsid w:val="00FA2F13"/>
    <w:rsid w:val="00FB0BA1"/>
    <w:rsid w:val="00FB36E9"/>
    <w:rsid w:val="00FE6CA0"/>
    <w:rsid w:val="00FF7B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EE572D"/>
  <w14:defaultImageDpi w14:val="300"/>
  <w15:chartTrackingRefBased/>
  <w15:docId w15:val="{CCBFB0CA-98BE-4BDA-9C20-E627233A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cs="Times New Roman"/>
      <w:color w:val="FFFF00"/>
      <w:u w:val="single"/>
    </w:rPr>
  </w:style>
  <w:style w:type="character" w:styleId="FollowedHyperlink">
    <w:name w:val="FollowedHyperlink"/>
    <w:rPr>
      <w:rFonts w:cs="Times New Roman"/>
      <w:color w:val="auto"/>
      <w:u w:val="single"/>
    </w:rPr>
  </w:style>
  <w:style w:type="paragraph" w:customStyle="1" w:styleId="adresa-naslov">
    <w:name w:val="adresa-naslov"/>
    <w:basedOn w:val="adresa"/>
    <w:next w:val="adresa"/>
    <w:rsid w:val="00955EE2"/>
    <w:rPr>
      <w:b/>
    </w:rPr>
  </w:style>
  <w:style w:type="paragraph" w:customStyle="1" w:styleId="adresa">
    <w:name w:val="adresa"/>
    <w:basedOn w:val="Normal"/>
    <w:rsid w:val="00955EE2"/>
    <w:rPr>
      <w:rFonts w:ascii="OfficinaSansTT" w:hAnsi="OfficinaSansTT"/>
      <w:szCs w:val="20"/>
      <w:lang w:eastAsia="en-US"/>
    </w:rPr>
  </w:style>
  <w:style w:type="paragraph" w:customStyle="1" w:styleId="datumklasa">
    <w:name w:val="datum_klasa"/>
    <w:basedOn w:val="Normal"/>
    <w:rsid w:val="00955EE2"/>
    <w:pPr>
      <w:jc w:val="right"/>
    </w:pPr>
    <w:rPr>
      <w:rFonts w:ascii="OfficinaSansTT" w:hAnsi="OfficinaSansTT"/>
      <w:b/>
      <w:sz w:val="20"/>
      <w:szCs w:val="20"/>
      <w:lang w:eastAsia="en-US"/>
    </w:rPr>
  </w:style>
  <w:style w:type="table" w:styleId="TableGrid">
    <w:name w:val="Table Grid"/>
    <w:basedOn w:val="TableNormal"/>
    <w:rsid w:val="00955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9203D"/>
    <w:pPr>
      <w:tabs>
        <w:tab w:val="center" w:pos="4536"/>
        <w:tab w:val="right" w:pos="9072"/>
      </w:tabs>
    </w:pPr>
  </w:style>
  <w:style w:type="paragraph" w:styleId="Footer">
    <w:name w:val="footer"/>
    <w:basedOn w:val="Normal"/>
    <w:rsid w:val="00A9203D"/>
    <w:pPr>
      <w:tabs>
        <w:tab w:val="center" w:pos="4536"/>
        <w:tab w:val="right" w:pos="9072"/>
      </w:tabs>
    </w:pPr>
  </w:style>
  <w:style w:type="character" w:styleId="PageNumber">
    <w:name w:val="page number"/>
    <w:rsid w:val="00A9203D"/>
    <w:rPr>
      <w:rFonts w:cs="Times New Roman"/>
    </w:rPr>
  </w:style>
  <w:style w:type="character" w:styleId="Strong">
    <w:name w:val="Strong"/>
    <w:qFormat/>
    <w:rsid w:val="008149E4"/>
    <w:rPr>
      <w:rFonts w:cs="Times New Roman"/>
      <w:b/>
      <w:bCs/>
    </w:rPr>
  </w:style>
  <w:style w:type="paragraph" w:styleId="BalloonText">
    <w:name w:val="Balloon Text"/>
    <w:basedOn w:val="Normal"/>
    <w:semiHidden/>
    <w:rsid w:val="00151125"/>
    <w:rPr>
      <w:rFonts w:ascii="Tahoma" w:hAnsi="Tahoma" w:cs="Tahoma"/>
      <w:sz w:val="16"/>
      <w:szCs w:val="16"/>
    </w:rPr>
  </w:style>
  <w:style w:type="character" w:styleId="CommentReference">
    <w:name w:val="annotation reference"/>
    <w:uiPriority w:val="99"/>
    <w:semiHidden/>
    <w:rsid w:val="00DF5AA1"/>
    <w:rPr>
      <w:rFonts w:cs="Times New Roman"/>
      <w:sz w:val="16"/>
      <w:szCs w:val="16"/>
    </w:rPr>
  </w:style>
  <w:style w:type="paragraph" w:styleId="CommentText">
    <w:name w:val="annotation text"/>
    <w:basedOn w:val="Normal"/>
    <w:link w:val="CommentTextChar"/>
    <w:uiPriority w:val="99"/>
    <w:semiHidden/>
    <w:rsid w:val="00DF5AA1"/>
    <w:rPr>
      <w:sz w:val="20"/>
      <w:szCs w:val="20"/>
    </w:rPr>
  </w:style>
  <w:style w:type="paragraph" w:styleId="CommentSubject">
    <w:name w:val="annotation subject"/>
    <w:basedOn w:val="CommentText"/>
    <w:next w:val="CommentText"/>
    <w:semiHidden/>
    <w:rsid w:val="00DF5AA1"/>
    <w:rPr>
      <w:b/>
      <w:bCs/>
    </w:rPr>
  </w:style>
  <w:style w:type="character" w:customStyle="1" w:styleId="CommentTextChar">
    <w:name w:val="Comment Text Char"/>
    <w:link w:val="CommentText"/>
    <w:uiPriority w:val="99"/>
    <w:semiHidden/>
    <w:rsid w:val="00B9066E"/>
  </w:style>
  <w:style w:type="paragraph" w:styleId="ListParagraph">
    <w:name w:val="List Paragraph"/>
    <w:basedOn w:val="Normal"/>
    <w:uiPriority w:val="34"/>
    <w:qFormat/>
    <w:rsid w:val="00B9066E"/>
    <w:pPr>
      <w:spacing w:line="276" w:lineRule="auto"/>
      <w:ind w:left="720"/>
      <w:contextualSpacing/>
    </w:pPr>
    <w:rPr>
      <w:rFonts w:ascii="Arial" w:eastAsia="Arial" w:hAnsi="Arial" w:cs="Arial"/>
      <w:sz w:val="22"/>
      <w:szCs w:val="22"/>
      <w:lang w:val="en"/>
    </w:rPr>
  </w:style>
  <w:style w:type="character" w:styleId="UnresolvedMention">
    <w:name w:val="Unresolved Mention"/>
    <w:basedOn w:val="DefaultParagraphFont"/>
    <w:uiPriority w:val="99"/>
    <w:semiHidden/>
    <w:unhideWhenUsed/>
    <w:rsid w:val="00022D8C"/>
    <w:rPr>
      <w:color w:val="605E5C"/>
      <w:shd w:val="clear" w:color="auto" w:fill="E1DFDD"/>
    </w:rPr>
  </w:style>
  <w:style w:type="paragraph" w:styleId="BodyText">
    <w:name w:val="Body Text"/>
    <w:basedOn w:val="Normal"/>
    <w:link w:val="BodyTextChar"/>
    <w:unhideWhenUsed/>
    <w:rsid w:val="000B7F12"/>
    <w:pPr>
      <w:jc w:val="both"/>
    </w:pPr>
    <w:rPr>
      <w:lang w:eastAsia="en-US"/>
    </w:rPr>
  </w:style>
  <w:style w:type="character" w:customStyle="1" w:styleId="BodyTextChar">
    <w:name w:val="Body Text Char"/>
    <w:basedOn w:val="DefaultParagraphFont"/>
    <w:link w:val="BodyText"/>
    <w:rsid w:val="000B7F1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rnet.hr/dokument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tp://ftp.carnet.hr/pub/CARNET/docs/rules/CDA0063.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8A018DED2C2A4685467D0E9013BE9D" ma:contentTypeVersion="8" ma:contentTypeDescription="Create a new document." ma:contentTypeScope="" ma:versionID="55f6b7a100d087b342e97790ccf0174e">
  <xsd:schema xmlns:xsd="http://www.w3.org/2001/XMLSchema" xmlns:xs="http://www.w3.org/2001/XMLSchema" xmlns:p="http://schemas.microsoft.com/office/2006/metadata/properties" xmlns:ns3="65155839-f624-40cc-a83c-6bc1d3c9e64b" targetNamespace="http://schemas.microsoft.com/office/2006/metadata/properties" ma:root="true" ma:fieldsID="a25d8021b91ef74f1c3e2a3884fde06f" ns3:_="">
    <xsd:import namespace="65155839-f624-40cc-a83c-6bc1d3c9e64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155839-f624-40cc-a83c-6bc1d3c9e6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C101B-D257-45D7-9E62-B5BFCBB0F158}">
  <ds:schemaRefs>
    <ds:schemaRef ds:uri="http://schemas.microsoft.com/office/infopath/2007/PartnerControls"/>
    <ds:schemaRef ds:uri="http://purl.org/dc/elements/1.1/"/>
    <ds:schemaRef ds:uri="http://schemas.microsoft.com/office/2006/metadata/properties"/>
    <ds:schemaRef ds:uri="http://purl.org/dc/terms/"/>
    <ds:schemaRef ds:uri="65155839-f624-40cc-a83c-6bc1d3c9e64b"/>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692394C-1D92-41D0-97A4-E05D0D484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155839-f624-40cc-a83c-6bc1d3c9e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B534B2-1771-4706-83C3-2FF776BEE3C6}">
  <ds:schemaRefs>
    <ds:schemaRef ds:uri="http://schemas.microsoft.com/sharepoint/v3/contenttype/forms"/>
  </ds:schemaRefs>
</ds:datastoreItem>
</file>

<file path=customXml/itemProps4.xml><?xml version="1.0" encoding="utf-8"?>
<ds:datastoreItem xmlns:ds="http://schemas.openxmlformats.org/officeDocument/2006/customXml" ds:itemID="{144E8436-27B3-4124-8E8D-0255C2FC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3172</Words>
  <Characters>19196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HRVATSKA AKADEMSKA I ISTRAŽIVAČKA MREŽA - CARNet</vt:lpstr>
    </vt:vector>
  </TitlesOfParts>
  <Company/>
  <LinksUpToDate>false</LinksUpToDate>
  <CharactersWithSpaces>22324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HRVATSKA AKADEMSKA I ISTRAŽIVAČKA MREŽA - CARNet</dc:title>
  <dc:subject/>
  <dc:creator>mstolarik</dc:creator>
  <cp:keywords/>
  <dc:description/>
  <cp:lastModifiedBy>Zdenka Zec</cp:lastModifiedBy>
  <cp:revision>2</cp:revision>
  <cp:lastPrinted>2019-10-16T07:46:00Z</cp:lastPrinted>
  <dcterms:created xsi:type="dcterms:W3CDTF">2019-10-16T08:04:00Z</dcterms:created>
  <dcterms:modified xsi:type="dcterms:W3CDTF">2019-10-16T08:04:00Z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0x010100BF8A018DED2C2A4685467D0E9013BE9D</vt:lpwstr>
  </property>
</Properties>
</file>