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48AAE" w14:textId="77777777" w:rsidR="00D46C69" w:rsidRDefault="004B5492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jc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 wp14:anchorId="1629D874" wp14:editId="5E6197BB">
            <wp:extent cx="1476581" cy="362001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76581" cy="36200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3D8F414" w14:textId="77777777" w:rsidR="00D46C69" w:rsidRDefault="004B5492">
      <w:pPr>
        <w:widowControl w:val="0"/>
        <w:spacing w:before="600" w:after="120"/>
        <w:jc w:val="center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  <w:b/>
        </w:rPr>
        <w:t>Hrvatska akademska i istraživačka mreža - CARNET</w:t>
      </w:r>
    </w:p>
    <w:p w14:paraId="051865F5" w14:textId="77777777" w:rsidR="00D46C69" w:rsidRDefault="004B5492">
      <w:pPr>
        <w:widowControl w:val="0"/>
        <w:spacing w:before="240" w:after="120"/>
        <w:jc w:val="center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  <w:b/>
          <w:sz w:val="36"/>
          <w:szCs w:val="36"/>
        </w:rPr>
        <w:t>CDA0065</w:t>
      </w:r>
    </w:p>
    <w:p w14:paraId="140C0E72" w14:textId="77777777" w:rsidR="00D46C69" w:rsidRDefault="004B5492">
      <w:pPr>
        <w:widowControl w:val="0"/>
        <w:spacing w:before="240" w:after="360"/>
        <w:jc w:val="center"/>
        <w:rPr>
          <w:rFonts w:ascii="Open Sans" w:eastAsia="Open Sans" w:hAnsi="Open Sans" w:cs="Open Sans"/>
          <w:sz w:val="32"/>
          <w:szCs w:val="32"/>
        </w:rPr>
      </w:pPr>
      <w:r>
        <w:rPr>
          <w:rFonts w:ascii="Open Sans" w:eastAsia="Open Sans" w:hAnsi="Open Sans" w:cs="Open Sans"/>
          <w:b/>
          <w:sz w:val="32"/>
          <w:szCs w:val="32"/>
        </w:rPr>
        <w:t xml:space="preserve">Pravilnik o korištenju aplikacije za organizaciju i praćenje edukacija - EMA </w:t>
      </w:r>
    </w:p>
    <w:tbl>
      <w:tblPr>
        <w:tblStyle w:val="a"/>
        <w:tblW w:w="98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24"/>
        <w:gridCol w:w="4918"/>
      </w:tblGrid>
      <w:tr w:rsidR="00D46C69" w14:paraId="2DDA7B48" w14:textId="77777777">
        <w:tc>
          <w:tcPr>
            <w:tcW w:w="4924" w:type="dxa"/>
            <w:vAlign w:val="center"/>
          </w:tcPr>
          <w:p w14:paraId="2D92E5DC" w14:textId="77777777" w:rsidR="00D46C69" w:rsidRDefault="004B5492">
            <w:pPr>
              <w:widowControl w:val="0"/>
              <w:spacing w:before="120" w:after="120" w:line="276" w:lineRule="auto"/>
              <w:ind w:right="261"/>
              <w:rPr>
                <w:rFonts w:ascii="Open Sans" w:eastAsia="Open Sans" w:hAnsi="Open Sans" w:cs="Open Sans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b/>
                <w:sz w:val="20"/>
                <w:szCs w:val="20"/>
              </w:rPr>
              <w:t>Kategorija: ODLUKA</w:t>
            </w:r>
          </w:p>
          <w:p w14:paraId="7788F678" w14:textId="77777777" w:rsidR="00D46C69" w:rsidRDefault="004B5492">
            <w:pPr>
              <w:widowControl w:val="0"/>
              <w:spacing w:before="120" w:after="120" w:line="276" w:lineRule="auto"/>
              <w:ind w:right="261"/>
              <w:rPr>
                <w:rFonts w:ascii="Open Sans" w:eastAsia="Open Sans" w:hAnsi="Open Sans" w:cs="Open Sans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b/>
                <w:sz w:val="20"/>
                <w:szCs w:val="20"/>
              </w:rPr>
              <w:t>Trajanje:</w:t>
            </w:r>
            <w:r>
              <w:rPr>
                <w:rFonts w:ascii="Open Sans" w:eastAsia="Open Sans" w:hAnsi="Open Sans" w:cs="Open Sans"/>
                <w:b/>
              </w:rPr>
              <w:t xml:space="preserve"> </w:t>
            </w:r>
            <w:r>
              <w:rPr>
                <w:rFonts w:ascii="Open Sans" w:eastAsia="Open Sans" w:hAnsi="Open Sans" w:cs="Open Sans"/>
                <w:b/>
                <w:sz w:val="20"/>
                <w:szCs w:val="20"/>
              </w:rPr>
              <w:t>do opoziva</w:t>
            </w:r>
          </w:p>
          <w:p w14:paraId="5C6459B8" w14:textId="77777777" w:rsidR="00D46C69" w:rsidRDefault="004B5492">
            <w:pPr>
              <w:widowControl w:val="0"/>
              <w:spacing w:before="120" w:after="120" w:line="276" w:lineRule="auto"/>
              <w:ind w:right="261"/>
              <w:rPr>
                <w:rFonts w:ascii="Open Sans" w:eastAsia="Open Sans" w:hAnsi="Open Sans" w:cs="Open Sans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b/>
                <w:sz w:val="20"/>
                <w:szCs w:val="20"/>
              </w:rPr>
              <w:t xml:space="preserve">Verzija: 1.0 </w:t>
            </w:r>
          </w:p>
        </w:tc>
        <w:tc>
          <w:tcPr>
            <w:tcW w:w="4918" w:type="dxa"/>
            <w:vAlign w:val="center"/>
          </w:tcPr>
          <w:p w14:paraId="10D2D910" w14:textId="77777777" w:rsidR="00D46C69" w:rsidRDefault="004B5492">
            <w:pPr>
              <w:widowControl w:val="0"/>
              <w:spacing w:before="120" w:after="120" w:line="276" w:lineRule="auto"/>
              <w:ind w:right="261"/>
              <w:jc w:val="right"/>
              <w:rPr>
                <w:rFonts w:ascii="Open Sans" w:eastAsia="Open Sans" w:hAnsi="Open Sans" w:cs="Open Sans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b/>
                <w:sz w:val="20"/>
                <w:szCs w:val="20"/>
              </w:rPr>
              <w:t>Klasa: 800-140/21/287</w:t>
            </w:r>
          </w:p>
          <w:p w14:paraId="03DDFFE6" w14:textId="77777777" w:rsidR="00D46C69" w:rsidRDefault="004B5492">
            <w:pPr>
              <w:widowControl w:val="0"/>
              <w:spacing w:before="120" w:after="120" w:line="276" w:lineRule="auto"/>
              <w:ind w:right="261"/>
              <w:jc w:val="right"/>
              <w:rPr>
                <w:rFonts w:ascii="Open Sans" w:eastAsia="Open Sans" w:hAnsi="Open Sans" w:cs="Open Sans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b/>
                <w:sz w:val="20"/>
                <w:szCs w:val="20"/>
              </w:rPr>
              <w:t>Ur. broj: I64581-650-102-21-1</w:t>
            </w:r>
          </w:p>
          <w:p w14:paraId="76AEE029" w14:textId="43335520" w:rsidR="00D46C69" w:rsidRDefault="004B5492">
            <w:pPr>
              <w:widowControl w:val="0"/>
              <w:spacing w:before="120" w:after="120" w:line="276" w:lineRule="auto"/>
              <w:ind w:right="261"/>
              <w:jc w:val="right"/>
              <w:rPr>
                <w:rFonts w:ascii="Open Sans" w:eastAsia="Open Sans" w:hAnsi="Open Sans" w:cs="Open Sans"/>
              </w:rPr>
            </w:pPr>
            <w:r>
              <w:rPr>
                <w:rFonts w:ascii="Open Sans" w:eastAsia="Open Sans" w:hAnsi="Open Sans" w:cs="Open Sans"/>
                <w:b/>
                <w:sz w:val="20"/>
                <w:szCs w:val="20"/>
              </w:rPr>
              <w:t>Datum nastanka: 0</w:t>
            </w:r>
            <w:r w:rsidR="00B373D9">
              <w:rPr>
                <w:rFonts w:ascii="Open Sans" w:eastAsia="Open Sans" w:hAnsi="Open Sans" w:cs="Open Sans"/>
                <w:b/>
                <w:sz w:val="20"/>
                <w:szCs w:val="20"/>
              </w:rPr>
              <w:t>1</w:t>
            </w:r>
            <w:r>
              <w:rPr>
                <w:rFonts w:ascii="Open Sans" w:eastAsia="Open Sans" w:hAnsi="Open Sans" w:cs="Open Sans"/>
                <w:b/>
                <w:sz w:val="20"/>
                <w:szCs w:val="20"/>
              </w:rPr>
              <w:t>.0</w:t>
            </w:r>
            <w:r w:rsidR="00B373D9">
              <w:rPr>
                <w:rFonts w:ascii="Open Sans" w:eastAsia="Open Sans" w:hAnsi="Open Sans" w:cs="Open Sans"/>
                <w:b/>
                <w:sz w:val="20"/>
                <w:szCs w:val="20"/>
              </w:rPr>
              <w:t>7</w:t>
            </w:r>
            <w:r>
              <w:rPr>
                <w:rFonts w:ascii="Open Sans" w:eastAsia="Open Sans" w:hAnsi="Open Sans" w:cs="Open Sans"/>
                <w:b/>
                <w:sz w:val="20"/>
                <w:szCs w:val="20"/>
              </w:rPr>
              <w:t>.</w:t>
            </w:r>
            <w:r w:rsidR="00B373D9">
              <w:rPr>
                <w:rFonts w:ascii="Open Sans" w:eastAsia="Open Sans" w:hAnsi="Open Sans" w:cs="Open Sans"/>
                <w:b/>
                <w:sz w:val="20"/>
                <w:szCs w:val="20"/>
              </w:rPr>
              <w:t>2</w:t>
            </w:r>
            <w:r>
              <w:rPr>
                <w:rFonts w:ascii="Open Sans" w:eastAsia="Open Sans" w:hAnsi="Open Sans" w:cs="Open Sans"/>
                <w:b/>
                <w:sz w:val="20"/>
                <w:szCs w:val="20"/>
              </w:rPr>
              <w:t>0</w:t>
            </w:r>
            <w:r w:rsidR="00B373D9">
              <w:rPr>
                <w:rFonts w:ascii="Open Sans" w:eastAsia="Open Sans" w:hAnsi="Open Sans" w:cs="Open Sans"/>
                <w:b/>
                <w:sz w:val="20"/>
                <w:szCs w:val="20"/>
              </w:rPr>
              <w:t>21</w:t>
            </w:r>
            <w:r>
              <w:rPr>
                <w:rFonts w:ascii="Open Sans" w:eastAsia="Open Sans" w:hAnsi="Open Sans" w:cs="Open Sans"/>
                <w:b/>
                <w:sz w:val="20"/>
                <w:szCs w:val="20"/>
              </w:rPr>
              <w:t>.</w:t>
            </w:r>
          </w:p>
        </w:tc>
      </w:tr>
      <w:tr w:rsidR="00D46C69" w14:paraId="074952D4" w14:textId="77777777">
        <w:tc>
          <w:tcPr>
            <w:tcW w:w="9842" w:type="dxa"/>
            <w:gridSpan w:val="2"/>
            <w:vAlign w:val="center"/>
          </w:tcPr>
          <w:p w14:paraId="31B852B2" w14:textId="77E5E0E5" w:rsidR="00D46C69" w:rsidRDefault="004B5492">
            <w:pPr>
              <w:widowControl w:val="0"/>
              <w:spacing w:before="120" w:after="120" w:line="276" w:lineRule="auto"/>
              <w:ind w:right="261"/>
              <w:jc w:val="center"/>
              <w:rPr>
                <w:rFonts w:ascii="Open Sans" w:eastAsia="Open Sans" w:hAnsi="Open Sans" w:cs="Open Sans"/>
              </w:rPr>
            </w:pPr>
            <w:r>
              <w:rPr>
                <w:rFonts w:ascii="Open Sans" w:eastAsia="Open Sans" w:hAnsi="Open Sans" w:cs="Open Sans"/>
                <w:b/>
              </w:rPr>
              <w:t>URL:</w:t>
            </w:r>
            <w:r w:rsidRPr="00386363">
              <w:rPr>
                <w:rFonts w:ascii="Open Sans" w:eastAsia="Open Sans" w:hAnsi="Open Sans" w:cs="Open Sans"/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hyperlink r:id="rId8" w:history="1">
              <w:r w:rsidRPr="00386363">
                <w:rPr>
                  <w:rStyle w:val="Hyperlink"/>
                  <w:rFonts w:ascii="Open Sans" w:eastAsia="Open Sans" w:hAnsi="Open Sans" w:cs="Open Sans"/>
                  <w:color w:val="000000" w:themeColor="text1"/>
                  <w14:shadow w14:blurRad="38100" w14:dist="19050" w14:dir="2700000" w14:sx="100000" w14:sy="100000" w14:kx="0" w14:ky="0" w14:algn="tl">
                    <w14:schemeClr w14:val="dk1">
                      <w14:alpha w14:val="60000"/>
                    </w14:scheme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ftp://ftp.carnet.hr/pub/CARNET/docs/rules/CDA0065.pdf</w:t>
              </w:r>
            </w:hyperlink>
          </w:p>
        </w:tc>
      </w:tr>
    </w:tbl>
    <w:p w14:paraId="22FB5287" w14:textId="77777777" w:rsidR="00D46C69" w:rsidRDefault="004B5492">
      <w:pPr>
        <w:widowControl w:val="0"/>
        <w:spacing w:before="360" w:after="120" w:line="257" w:lineRule="auto"/>
        <w:jc w:val="center"/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eastAsia="Open Sans" w:hAnsi="Open Sans" w:cs="Open Sans"/>
          <w:b/>
          <w:sz w:val="26"/>
          <w:szCs w:val="26"/>
        </w:rPr>
        <w:t>Uvod</w:t>
      </w:r>
    </w:p>
    <w:p w14:paraId="0E114C69" w14:textId="77777777" w:rsidR="00D46C69" w:rsidRDefault="004B5492">
      <w:pPr>
        <w:widowControl w:val="0"/>
        <w:spacing w:before="120" w:after="120" w:line="246" w:lineRule="auto"/>
        <w:jc w:val="both"/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eastAsia="Open Sans" w:hAnsi="Open Sans" w:cs="Open Sans"/>
          <w:sz w:val="22"/>
          <w:szCs w:val="22"/>
        </w:rPr>
        <w:t xml:space="preserve">Aplikacija za organizaciju i praćenje edukacija - EMA (engl. Education Management Application) je aplikacija razvijena s namjerom da se na jednom centralnom mjestu organizatorima omogući objavljivanje informacija i upravljanje provođenjem programa stručnog osposobljavanja i usavršavanja kao i prijavljivanje radnika školskih ustanova i drugih krajnjih korisnika te praćenje njihovog stručnog osposobljavanja i usavršavanja. </w:t>
      </w:r>
    </w:p>
    <w:p w14:paraId="48AD0374" w14:textId="77777777" w:rsidR="00D46C69" w:rsidRDefault="004B5492">
      <w:pPr>
        <w:widowControl w:val="0"/>
        <w:spacing w:before="120" w:after="120" w:line="246" w:lineRule="auto"/>
        <w:jc w:val="both"/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eastAsia="Open Sans" w:hAnsi="Open Sans" w:cs="Open Sans"/>
          <w:sz w:val="22"/>
          <w:szCs w:val="22"/>
        </w:rPr>
        <w:t>Navedena aplikacija izrađena je tijekom 2017. godine u okviru projekta “e-Škole: Uspostava sustava razvoja digitalno zrelih škola (pilot projekt)” te je 17. siječnja 2018. godine puštena u produkciju.</w:t>
      </w:r>
    </w:p>
    <w:p w14:paraId="306A5288" w14:textId="77777777" w:rsidR="00D46C69" w:rsidRDefault="004B5492">
      <w:pPr>
        <w:widowControl w:val="0"/>
        <w:spacing w:before="120" w:after="120" w:line="246" w:lineRule="auto"/>
        <w:jc w:val="both"/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eastAsia="Open Sans" w:hAnsi="Open Sans" w:cs="Open Sans"/>
          <w:sz w:val="22"/>
          <w:szCs w:val="22"/>
        </w:rPr>
        <w:t>Ovim Pravilnikom o korištenju aplikacije za organizaciju i praćenje edukacije – EMA (u daljnjem tekstu: EMA), CARNET kao davatelj usluge propisuje prava i obaveze krajnjih korisnika, organizatora programa stručnog osposobljavanja i usavršavanja te davatelja usluge.</w:t>
      </w:r>
    </w:p>
    <w:p w14:paraId="79ECF9A1" w14:textId="77777777" w:rsidR="00D46C69" w:rsidRDefault="004B5492">
      <w:pPr>
        <w:widowControl w:val="0"/>
        <w:spacing w:before="240" w:after="120"/>
        <w:rPr>
          <w:rFonts w:ascii="Open Sans" w:eastAsia="Open Sans" w:hAnsi="Open Sans" w:cs="Open Sans"/>
          <w:b/>
          <w:sz w:val="26"/>
          <w:szCs w:val="26"/>
        </w:rPr>
      </w:pPr>
      <w:r>
        <w:rPr>
          <w:rFonts w:ascii="Open Sans" w:eastAsia="Open Sans" w:hAnsi="Open Sans" w:cs="Open Sans"/>
          <w:b/>
          <w:sz w:val="26"/>
          <w:szCs w:val="26"/>
        </w:rPr>
        <w:t>Svrha usluge</w:t>
      </w:r>
    </w:p>
    <w:p w14:paraId="1331879B" w14:textId="77777777" w:rsidR="00D46C69" w:rsidRDefault="004B549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 w:line="246" w:lineRule="auto"/>
        <w:jc w:val="both"/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eastAsia="Open Sans" w:hAnsi="Open Sans" w:cs="Open Sans"/>
          <w:sz w:val="22"/>
          <w:szCs w:val="22"/>
        </w:rPr>
        <w:t xml:space="preserve">Svrha aplikacije EMA je svim zainteresiranim krajnjim korisnicima omogućiti pretraživanje i prijavu/odjavu na programe stručnog osposobljavanja i usavršavanja, evidenciju istih u svojim korisničkim profilima te preuzimanje potvrda i drugih javnih isprava vezanih uz stručno osposobljavanje i usavršavanje. </w:t>
      </w:r>
    </w:p>
    <w:p w14:paraId="6E2C115C" w14:textId="77777777" w:rsidR="00D46C69" w:rsidRDefault="004B549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 w:line="246" w:lineRule="auto"/>
        <w:jc w:val="both"/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eastAsia="Open Sans" w:hAnsi="Open Sans" w:cs="Open Sans"/>
          <w:sz w:val="22"/>
          <w:szCs w:val="22"/>
        </w:rPr>
        <w:t xml:space="preserve">Nadalje, svim organizatorima programa stručnog osposobljavanja i usavršavanja (u daljnjem tekstu: organizator), aplikacija omogućuje objavljivanje informacija vezanih uz provođenje programa stručnog osposobljavanja i usavršavanja, olakšanu organizaciju i provedbu programa stručnog osposobljavanja i usavršavanja te izradu izvještaja za njihovo praćenje. </w:t>
      </w:r>
    </w:p>
    <w:p w14:paraId="2BA2DE46" w14:textId="77777777" w:rsidR="00D46C69" w:rsidRDefault="00D46C69">
      <w:pPr>
        <w:widowControl w:val="0"/>
        <w:spacing w:before="120" w:after="120" w:line="246" w:lineRule="auto"/>
        <w:jc w:val="both"/>
        <w:rPr>
          <w:rFonts w:ascii="Open Sans" w:eastAsia="Open Sans" w:hAnsi="Open Sans" w:cs="Open Sans"/>
          <w:b/>
          <w:sz w:val="26"/>
          <w:szCs w:val="26"/>
        </w:rPr>
      </w:pPr>
    </w:p>
    <w:p w14:paraId="2235F3FB" w14:textId="77777777" w:rsidR="00D46C69" w:rsidRDefault="004B5492">
      <w:pPr>
        <w:widowControl w:val="0"/>
        <w:spacing w:before="120" w:after="120" w:line="246" w:lineRule="auto"/>
        <w:jc w:val="both"/>
        <w:rPr>
          <w:rFonts w:ascii="Open Sans" w:eastAsia="Open Sans" w:hAnsi="Open Sans" w:cs="Open Sans"/>
          <w:b/>
          <w:sz w:val="26"/>
          <w:szCs w:val="26"/>
        </w:rPr>
      </w:pPr>
      <w:r>
        <w:rPr>
          <w:rFonts w:ascii="Open Sans" w:eastAsia="Open Sans" w:hAnsi="Open Sans" w:cs="Open Sans"/>
          <w:b/>
          <w:sz w:val="26"/>
          <w:szCs w:val="26"/>
        </w:rPr>
        <w:lastRenderedPageBreak/>
        <w:t>Opis usluge</w:t>
      </w:r>
    </w:p>
    <w:p w14:paraId="0ADDA1C7" w14:textId="77777777" w:rsidR="00D46C69" w:rsidRDefault="004B5492">
      <w:pPr>
        <w:widowControl w:val="0"/>
        <w:spacing w:before="120" w:after="120" w:line="246" w:lineRule="auto"/>
        <w:jc w:val="both"/>
        <w:rPr>
          <w:rFonts w:ascii="Open Sans" w:eastAsia="Open Sans" w:hAnsi="Open Sans" w:cs="Open Sans"/>
          <w:b/>
          <w:sz w:val="26"/>
          <w:szCs w:val="26"/>
        </w:rPr>
      </w:pPr>
      <w:r>
        <w:rPr>
          <w:rFonts w:ascii="Open Sans" w:eastAsia="Open Sans" w:hAnsi="Open Sans" w:cs="Open Sans"/>
          <w:sz w:val="22"/>
          <w:szCs w:val="22"/>
        </w:rPr>
        <w:t xml:space="preserve">Programi stručnog osposobljavanja i usavršavanja provode se u obliku edukacija - pojedinačnog održavanja u različitim oblicima kao što su radionice uživo, online tečajevi,  webinari, seminari, konferencije, susreti nastavnika, studijski posjeti i dr. </w:t>
      </w:r>
    </w:p>
    <w:p w14:paraId="73940E9B" w14:textId="77777777" w:rsidR="00D46C69" w:rsidRDefault="004B5492">
      <w:pPr>
        <w:widowControl w:val="0"/>
        <w:spacing w:before="120" w:after="120" w:line="246" w:lineRule="auto"/>
        <w:jc w:val="both"/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eastAsia="Open Sans" w:hAnsi="Open Sans" w:cs="Open Sans"/>
          <w:sz w:val="22"/>
          <w:szCs w:val="22"/>
        </w:rPr>
        <w:t xml:space="preserve">U sustavu je definirano osam ključnih uloga. Ulogu Krajnji korisnik dobiva svaki korisnik aplikacije po prvoj prijavi u sustav dok CARNET kao davatelj usluge, odnosno krovni administrator i organizatori, ovisno o potrebi, imaju mogućnost dodijeliti uloge s administrativnim ovlastima za rad u aplikaciji (Krovni administrator, Helpdesk, Administrator ustanove, Savjetnik/Voditelj/Moderator, Predavač, Škola/Ravnatelj, Dobavljač, Rezervacija resursa). </w:t>
      </w:r>
    </w:p>
    <w:p w14:paraId="12013CCF" w14:textId="77777777" w:rsidR="00D46C69" w:rsidRDefault="004B549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 w:line="246" w:lineRule="auto"/>
        <w:jc w:val="both"/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eastAsia="Open Sans" w:hAnsi="Open Sans" w:cs="Open Sans"/>
          <w:sz w:val="22"/>
          <w:szCs w:val="22"/>
        </w:rPr>
        <w:t>Aplikacija EMA ima javno i interno sučelje za krajnje korisnike tj. korisnički profil te interno administratorsko sučelje za organizatore.</w:t>
      </w:r>
    </w:p>
    <w:p w14:paraId="54868546" w14:textId="77777777" w:rsidR="00D46C69" w:rsidRDefault="004B549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 w:line="246" w:lineRule="auto"/>
        <w:jc w:val="both"/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eastAsia="Open Sans" w:hAnsi="Open Sans" w:cs="Open Sans"/>
          <w:sz w:val="22"/>
          <w:szCs w:val="22"/>
        </w:rPr>
        <w:t xml:space="preserve">Kroz javno sučelje, svim zainteresiranim korisnicima omogućeno je jednostavno pretraživanje objavljenih edukacija. Prijava/odjava za njihovo pohađanje moguća je po prijavi u sustav pomoću elektroničkog identiteta u sustavu </w:t>
      </w:r>
      <w:hyperlink r:id="rId9">
        <w:r>
          <w:rPr>
            <w:rFonts w:ascii="Open Sans" w:eastAsia="Open Sans" w:hAnsi="Open Sans" w:cs="Open Sans"/>
            <w:sz w:val="22"/>
            <w:szCs w:val="22"/>
          </w:rPr>
          <w:t>AAI@EduHr</w:t>
        </w:r>
      </w:hyperlink>
      <w:r>
        <w:rPr>
          <w:rFonts w:ascii="Open Sans" w:eastAsia="Open Sans" w:hAnsi="Open Sans" w:cs="Open Sans"/>
          <w:sz w:val="22"/>
          <w:szCs w:val="22"/>
        </w:rPr>
        <w:t xml:space="preserve"> ili u sustavu NIAS, odnosno na drugi način koji je krajnjem korisniku omogućio organizator, iz hrvatskog domenskog prostora. </w:t>
      </w:r>
    </w:p>
    <w:p w14:paraId="47B3B17C" w14:textId="77777777" w:rsidR="00D46C69" w:rsidRDefault="004B549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 w:line="246" w:lineRule="auto"/>
        <w:jc w:val="both"/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eastAsia="Open Sans" w:hAnsi="Open Sans" w:cs="Open Sans"/>
          <w:sz w:val="22"/>
          <w:szCs w:val="22"/>
        </w:rPr>
        <w:t xml:space="preserve">Svi korisnici aplikacije EMA, kroz korisnički profil imaju uvid u svoje osobne podatke, podatke o prijavljenim i odslušanim edukacijama u svojstvu polaznika s priloženim potvrdama o sudjelovanju ili održanim edukacijama u svojstvu predavača. </w:t>
      </w:r>
    </w:p>
    <w:p w14:paraId="53ACC0D5" w14:textId="77777777" w:rsidR="00D46C69" w:rsidRDefault="004B549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 w:line="246" w:lineRule="auto"/>
        <w:jc w:val="both"/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eastAsia="Open Sans" w:hAnsi="Open Sans" w:cs="Open Sans"/>
          <w:sz w:val="22"/>
          <w:szCs w:val="22"/>
        </w:rPr>
        <w:t>Kroz interno administratorsko sučelje, organizatorima edukacija je omogućeno da na jednostavan način unesu informacije o edukacijama koje planiraju održati te da objave informaciju o istima na stranici EMA-e. Za edukacije unutar aplikacije navedeni su: kratak opis, oblik izvođenja, vrijeme i mjesto održavanja, ime predavača i druge informacije te je omogućena prijava na iste. Također, kroz interno administratorsko sučelje omogućeno je kreiranje potvrda i značaka, potpisnih listi te izvještaja o održanim edukacijama te broju i statusu polaznika (prijavljeni, odjavljeni).</w:t>
      </w:r>
    </w:p>
    <w:p w14:paraId="256E7C9A" w14:textId="77777777" w:rsidR="00D46C69" w:rsidRDefault="004B549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120"/>
        <w:rPr>
          <w:rFonts w:ascii="Open Sans" w:eastAsia="Open Sans" w:hAnsi="Open Sans" w:cs="Open Sans"/>
          <w:b/>
          <w:sz w:val="26"/>
          <w:szCs w:val="26"/>
        </w:rPr>
      </w:pPr>
      <w:r>
        <w:rPr>
          <w:rFonts w:ascii="Open Sans" w:eastAsia="Open Sans" w:hAnsi="Open Sans" w:cs="Open Sans"/>
          <w:b/>
          <w:sz w:val="26"/>
          <w:szCs w:val="26"/>
        </w:rPr>
        <w:t xml:space="preserve">Korisnici aplikacije EMA </w:t>
      </w:r>
    </w:p>
    <w:p w14:paraId="1AAEF5E4" w14:textId="77777777" w:rsidR="00D46C69" w:rsidRDefault="004B5492">
      <w:pPr>
        <w:widowControl w:val="0"/>
        <w:spacing w:before="120" w:after="120"/>
        <w:jc w:val="both"/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eastAsia="Open Sans" w:hAnsi="Open Sans" w:cs="Open Sans"/>
          <w:sz w:val="22"/>
          <w:szCs w:val="22"/>
        </w:rPr>
        <w:t>Kategorije korisnika u aplikaciji EMA su:</w:t>
      </w:r>
    </w:p>
    <w:p w14:paraId="451BEC6B" w14:textId="77777777" w:rsidR="00D46C69" w:rsidRDefault="004B5492">
      <w:pPr>
        <w:widowControl w:val="0"/>
        <w:numPr>
          <w:ilvl w:val="0"/>
          <w:numId w:val="2"/>
        </w:numPr>
        <w:spacing w:before="120"/>
        <w:jc w:val="both"/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eastAsia="Open Sans" w:hAnsi="Open Sans" w:cs="Open Sans"/>
          <w:b/>
          <w:sz w:val="22"/>
          <w:szCs w:val="22"/>
        </w:rPr>
        <w:t>Krajnji korisnici</w:t>
      </w:r>
      <w:r>
        <w:rPr>
          <w:rFonts w:ascii="Open Sans" w:eastAsia="Open Sans" w:hAnsi="Open Sans" w:cs="Open Sans"/>
          <w:sz w:val="22"/>
          <w:szCs w:val="22"/>
        </w:rPr>
        <w:t xml:space="preserve"> - fizičke osobe radnici CARNET-ovih ustanova članica koji posjeduju elektronički identitet u sustavu </w:t>
      </w:r>
      <w:hyperlink r:id="rId10">
        <w:r>
          <w:rPr>
            <w:rFonts w:ascii="Open Sans" w:eastAsia="Open Sans" w:hAnsi="Open Sans" w:cs="Open Sans"/>
            <w:sz w:val="22"/>
            <w:szCs w:val="22"/>
          </w:rPr>
          <w:t>AAI@EduHr</w:t>
        </w:r>
      </w:hyperlink>
      <w:r>
        <w:rPr>
          <w:rFonts w:ascii="Open Sans" w:eastAsia="Open Sans" w:hAnsi="Open Sans" w:cs="Open Sans"/>
          <w:sz w:val="22"/>
          <w:szCs w:val="22"/>
        </w:rPr>
        <w:t xml:space="preserve"> i u sustavu NIAS kao i ostali pojedinačni korisnici kojima organizatori programa stručnog osposobljavanja i usavršavanja dozvoljavaju sudjelovanje u tim programima.</w:t>
      </w:r>
    </w:p>
    <w:p w14:paraId="5B498E60" w14:textId="77777777" w:rsidR="00D46C69" w:rsidRDefault="004B5492">
      <w:pPr>
        <w:widowControl w:val="0"/>
        <w:numPr>
          <w:ilvl w:val="0"/>
          <w:numId w:val="2"/>
        </w:numPr>
        <w:spacing w:after="120"/>
        <w:jc w:val="both"/>
        <w:rPr>
          <w:rFonts w:ascii="Open Sans" w:eastAsia="Open Sans" w:hAnsi="Open Sans" w:cs="Open Sans"/>
          <w:sz w:val="22"/>
          <w:szCs w:val="22"/>
        </w:rPr>
      </w:pPr>
      <w:bookmarkStart w:id="0" w:name="_gjdgxs" w:colFirst="0" w:colLast="0"/>
      <w:bookmarkEnd w:id="0"/>
      <w:r>
        <w:rPr>
          <w:rFonts w:ascii="Open Sans" w:eastAsia="Open Sans" w:hAnsi="Open Sans" w:cs="Open Sans"/>
          <w:b/>
          <w:sz w:val="22"/>
          <w:szCs w:val="22"/>
        </w:rPr>
        <w:t xml:space="preserve">Organizatori </w:t>
      </w:r>
      <w:r>
        <w:rPr>
          <w:rFonts w:ascii="Open Sans" w:eastAsia="Open Sans" w:hAnsi="Open Sans" w:cs="Open Sans"/>
          <w:sz w:val="22"/>
          <w:szCs w:val="22"/>
        </w:rPr>
        <w:t xml:space="preserve">- pravna osoba kojoj je davatelj usluge dodijelio prava organizacije programa stručnog osposobljavanja i usavršavanja, a u skladu s važećim Zakonom o odgoju i obrazovanju u osnovnoj i srednjoj školi. </w:t>
      </w:r>
    </w:p>
    <w:p w14:paraId="2FE7D9FC" w14:textId="77777777" w:rsidR="00D46C69" w:rsidRDefault="004B5492">
      <w:pPr>
        <w:widowControl w:val="0"/>
        <w:spacing w:before="240" w:after="120"/>
        <w:rPr>
          <w:rFonts w:ascii="Open Sans" w:eastAsia="Open Sans" w:hAnsi="Open Sans" w:cs="Open Sans"/>
          <w:b/>
          <w:sz w:val="26"/>
          <w:szCs w:val="26"/>
        </w:rPr>
      </w:pPr>
      <w:r>
        <w:rPr>
          <w:rFonts w:ascii="Open Sans" w:eastAsia="Open Sans" w:hAnsi="Open Sans" w:cs="Open Sans"/>
          <w:b/>
          <w:sz w:val="26"/>
          <w:szCs w:val="26"/>
        </w:rPr>
        <w:t>Prava i obveze svih korisnika aplikacije EMA</w:t>
      </w:r>
    </w:p>
    <w:p w14:paraId="6CA25B9B" w14:textId="77777777" w:rsidR="00D46C69" w:rsidRDefault="004B5492">
      <w:pPr>
        <w:widowControl w:val="0"/>
        <w:spacing w:before="120"/>
        <w:jc w:val="both"/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eastAsia="Open Sans" w:hAnsi="Open Sans" w:cs="Open Sans"/>
          <w:sz w:val="22"/>
          <w:szCs w:val="22"/>
        </w:rPr>
        <w:t xml:space="preserve">S obzirom na to da je aplikacija EMA usluga dostupna korištenjem CARNET mreže, svi korisnici dužni su pri korištenju aplikacije EMA pridržavati se pravila ponašanja propisanih u Odluci o prihvatljivom korištenju CARNET mreže (CDA 0035) dostupnoj na adresi  </w:t>
      </w:r>
      <w:hyperlink r:id="rId11">
        <w:r>
          <w:rPr>
            <w:rFonts w:ascii="Open Sans" w:eastAsia="Open Sans" w:hAnsi="Open Sans" w:cs="Open Sans"/>
            <w:color w:val="1155CC"/>
            <w:sz w:val="22"/>
            <w:szCs w:val="22"/>
            <w:u w:val="single"/>
          </w:rPr>
          <w:t>http://ftp.carnet.hr/pub/CARNet/docs/rules/CDA0035.pdf</w:t>
        </w:r>
      </w:hyperlink>
      <w:r>
        <w:rPr>
          <w:rFonts w:ascii="Open Sans" w:eastAsia="Open Sans" w:hAnsi="Open Sans" w:cs="Open Sans"/>
          <w:sz w:val="22"/>
          <w:szCs w:val="22"/>
        </w:rPr>
        <w:t xml:space="preserve"> . </w:t>
      </w:r>
    </w:p>
    <w:p w14:paraId="2BA138F4" w14:textId="77777777" w:rsidR="00D46C69" w:rsidRDefault="004B5492">
      <w:pPr>
        <w:widowControl w:val="0"/>
        <w:spacing w:before="120"/>
        <w:jc w:val="both"/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eastAsia="Open Sans" w:hAnsi="Open Sans" w:cs="Open Sans"/>
          <w:sz w:val="22"/>
          <w:szCs w:val="22"/>
        </w:rPr>
        <w:t xml:space="preserve">Ovim pravilima definira se neprihvatljivo korištenje aplikacije EMA kao svako korištenje koje bi dovelo do povrede zakona, propisa ili etičkih normi, a mogao bi izazvati materijalnu ili nematerijalnu štetu za CARNET ili ustanove članice. </w:t>
      </w:r>
    </w:p>
    <w:p w14:paraId="6312B4FE" w14:textId="77777777" w:rsidR="00D46C69" w:rsidRDefault="004B5492">
      <w:pPr>
        <w:widowControl w:val="0"/>
        <w:spacing w:before="120"/>
        <w:jc w:val="both"/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eastAsia="Open Sans" w:hAnsi="Open Sans" w:cs="Open Sans"/>
          <w:sz w:val="22"/>
          <w:szCs w:val="22"/>
        </w:rPr>
        <w:t>Svi korisnici se smatraju upoznati s pravilima navedenim u Odluci kao i eventualnim posljedicama kršenja istih.</w:t>
      </w:r>
    </w:p>
    <w:p w14:paraId="5FB651A2" w14:textId="77777777" w:rsidR="00D46C69" w:rsidRDefault="004B5492">
      <w:pPr>
        <w:widowControl w:val="0"/>
        <w:spacing w:before="240" w:after="120"/>
        <w:rPr>
          <w:rFonts w:ascii="Open Sans" w:eastAsia="Open Sans" w:hAnsi="Open Sans" w:cs="Open Sans"/>
          <w:b/>
          <w:sz w:val="26"/>
          <w:szCs w:val="26"/>
        </w:rPr>
      </w:pPr>
      <w:r>
        <w:rPr>
          <w:rFonts w:ascii="Open Sans" w:eastAsia="Open Sans" w:hAnsi="Open Sans" w:cs="Open Sans"/>
          <w:b/>
          <w:sz w:val="26"/>
          <w:szCs w:val="26"/>
        </w:rPr>
        <w:t>Prava i obveze krajnjih korisnika</w:t>
      </w:r>
    </w:p>
    <w:p w14:paraId="70669A20" w14:textId="77777777" w:rsidR="00D46C69" w:rsidRDefault="004B549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eastAsia="Open Sans" w:hAnsi="Open Sans" w:cs="Open Sans"/>
          <w:sz w:val="22"/>
          <w:szCs w:val="22"/>
        </w:rPr>
        <w:t xml:space="preserve">Uslugu aplikacije EMA krajnji korisnik može koristiti ukoliko se prethodno prijavi u sustav pomoću svog elektroničkog identiteta u sustavu </w:t>
      </w:r>
      <w:hyperlink r:id="rId12">
        <w:r>
          <w:rPr>
            <w:rFonts w:ascii="Open Sans" w:eastAsia="Open Sans" w:hAnsi="Open Sans" w:cs="Open Sans"/>
            <w:sz w:val="22"/>
            <w:szCs w:val="22"/>
          </w:rPr>
          <w:t>AAI@EduHr</w:t>
        </w:r>
      </w:hyperlink>
      <w:r>
        <w:rPr>
          <w:rFonts w:ascii="Open Sans" w:eastAsia="Open Sans" w:hAnsi="Open Sans" w:cs="Open Sans"/>
          <w:sz w:val="22"/>
          <w:szCs w:val="22"/>
        </w:rPr>
        <w:t xml:space="preserve"> i u sustavu NIAS odnosno na drugi način koji mu je omogućio organizator.</w:t>
      </w:r>
    </w:p>
    <w:p w14:paraId="2B33BB82" w14:textId="77777777" w:rsidR="00D46C69" w:rsidRDefault="004B549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eastAsia="Open Sans" w:hAnsi="Open Sans" w:cs="Open Sans"/>
          <w:sz w:val="22"/>
          <w:szCs w:val="22"/>
        </w:rPr>
        <w:t xml:space="preserve">Po prijavi u aplikaciju EMA, krajnji korisnik ima pravo prijave/odjave na one edukacije kojima mu je organizator omogućio pristup u skladu s definiranim kriterijima za sudjelovanje na pojedinoj edukaciji (npr. edukacija za ravnatelje i sl. ). </w:t>
      </w:r>
    </w:p>
    <w:p w14:paraId="7AAD23B1" w14:textId="77777777" w:rsidR="00D46C69" w:rsidRDefault="004B549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eastAsia="Open Sans" w:hAnsi="Open Sans" w:cs="Open Sans"/>
          <w:sz w:val="22"/>
          <w:szCs w:val="22"/>
        </w:rPr>
        <w:t>Krajnji korisnik ima pravo na korisničku podršku putem e-adrese koja je navedena na stranicama sustava.</w:t>
      </w:r>
    </w:p>
    <w:p w14:paraId="5F3F49B7" w14:textId="77777777" w:rsidR="00D46C69" w:rsidRDefault="004B549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eastAsia="Open Sans" w:hAnsi="Open Sans" w:cs="Open Sans"/>
          <w:sz w:val="22"/>
          <w:szCs w:val="22"/>
        </w:rPr>
        <w:t>Krajnji korisnik ima:</w:t>
      </w:r>
    </w:p>
    <w:p w14:paraId="19FBDA9C" w14:textId="77777777" w:rsidR="00D46C69" w:rsidRDefault="004B5492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eastAsia="Open Sans" w:hAnsi="Open Sans" w:cs="Open Sans"/>
          <w:sz w:val="22"/>
          <w:szCs w:val="22"/>
        </w:rPr>
        <w:t>pravo pristupa i uvida u svoj korisnički profil te preuzimanje datoteka iz svog korisničkog profila</w:t>
      </w:r>
    </w:p>
    <w:p w14:paraId="6DFE4013" w14:textId="77777777" w:rsidR="00D46C69" w:rsidRDefault="004B5492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eastAsia="Open Sans" w:hAnsi="Open Sans" w:cs="Open Sans"/>
          <w:sz w:val="22"/>
          <w:szCs w:val="22"/>
        </w:rPr>
        <w:t>pravo na informiranost o obradi osobnih podataka</w:t>
      </w:r>
    </w:p>
    <w:p w14:paraId="4DED1BF4" w14:textId="77777777" w:rsidR="00D46C69" w:rsidRDefault="004B5492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eastAsia="Open Sans" w:hAnsi="Open Sans" w:cs="Open Sans"/>
          <w:sz w:val="22"/>
          <w:szCs w:val="22"/>
        </w:rPr>
        <w:t>pravo na podnošenje prigovora</w:t>
      </w:r>
    </w:p>
    <w:p w14:paraId="1C562DA5" w14:textId="77777777" w:rsidR="00D46C69" w:rsidRDefault="004B5492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eastAsia="Open Sans" w:hAnsi="Open Sans" w:cs="Open Sans"/>
          <w:sz w:val="22"/>
          <w:szCs w:val="22"/>
        </w:rPr>
        <w:t>pravo na ispravak i promjenu osobnih podataka u slučaju ako su podaci nepotpuni ili netočni.</w:t>
      </w:r>
    </w:p>
    <w:p w14:paraId="3121C9CA" w14:textId="77777777" w:rsidR="00D46C69" w:rsidRDefault="004B549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Open Sans" w:eastAsia="Open Sans" w:hAnsi="Open Sans" w:cs="Open Sans"/>
          <w:i/>
          <w:sz w:val="22"/>
          <w:szCs w:val="22"/>
        </w:rPr>
      </w:pPr>
      <w:r>
        <w:rPr>
          <w:rFonts w:ascii="Open Sans" w:eastAsia="Open Sans" w:hAnsi="Open Sans" w:cs="Open Sans"/>
          <w:i/>
          <w:sz w:val="22"/>
          <w:szCs w:val="22"/>
        </w:rPr>
        <w:t xml:space="preserve">Napomena: Korisnicima iz obrazovnog sustava aplikacija EMA dio podataka povlači iz LDAP imenika ustanove, odnosno iz AAI@EduHr elektroničkog identiteta. To su sljedeći podaci: ime i prezime, OIB, ustanova, korisničko ime. Korisnicima koji se prijavljuju putem NIAS sustava aplikacija EMA povlači samo sljedeće podatke: ime i prezime, OIB. Navedeni podaci ne mogu se promijeniti direktno u aplikaciji EMA. </w:t>
      </w:r>
    </w:p>
    <w:p w14:paraId="784722B8" w14:textId="77777777" w:rsidR="00D46C69" w:rsidRDefault="004B549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eastAsia="Open Sans" w:hAnsi="Open Sans" w:cs="Open Sans"/>
          <w:sz w:val="22"/>
          <w:szCs w:val="22"/>
        </w:rPr>
        <w:t xml:space="preserve">Krajnji korisnici imaju mogućnost stjecanja i drugih uloga s administrativnim ovlastima od strane organizatora. Po prihvaćanju tih uloga, za krajnjeg korisnika počinju vrijediti prava i obaveze organizatora koji mu je dodijelio te uloge. </w:t>
      </w:r>
    </w:p>
    <w:p w14:paraId="5C0BF2F7" w14:textId="77777777" w:rsidR="00D46C69" w:rsidRDefault="004B549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eastAsia="Open Sans" w:hAnsi="Open Sans" w:cs="Open Sans"/>
          <w:sz w:val="22"/>
          <w:szCs w:val="22"/>
        </w:rPr>
        <w:t>Navedene uloge dužan je koristiti isključivo ispred organizatora koji mu je tu ulogu i dodijelio te u skladu s ovlastima pojedine uloge. Krajnji korisnik nema pravo koristiti uloge s administrativnim ovlastima kao fizička osoba kao niti za druge organizatore koji mu te uloge nisu dodijelili. Krajnji korisnik kojem su dodijeljene uloge s administrativnim ovlastima posebno nema pravo izrađivati niti objavljivati edukacije u svoje ime ili u ime treće strane, već isključivo u ime organizatora koji mu je tu ulogu i dodijelio.</w:t>
      </w:r>
    </w:p>
    <w:p w14:paraId="5174CCF7" w14:textId="77777777" w:rsidR="00D46C69" w:rsidRDefault="00D46C69">
      <w:pPr>
        <w:widowControl w:val="0"/>
        <w:spacing w:before="120" w:after="120"/>
        <w:jc w:val="both"/>
        <w:rPr>
          <w:rFonts w:ascii="Open Sans" w:eastAsia="Open Sans" w:hAnsi="Open Sans" w:cs="Open Sans"/>
          <w:sz w:val="22"/>
          <w:szCs w:val="22"/>
        </w:rPr>
      </w:pPr>
    </w:p>
    <w:p w14:paraId="08E7F467" w14:textId="77777777" w:rsidR="00D46C69" w:rsidRDefault="004B5492">
      <w:pPr>
        <w:widowControl w:val="0"/>
        <w:spacing w:before="240" w:after="120"/>
        <w:rPr>
          <w:rFonts w:ascii="Open Sans" w:eastAsia="Open Sans" w:hAnsi="Open Sans" w:cs="Open Sans"/>
          <w:sz w:val="26"/>
          <w:szCs w:val="26"/>
        </w:rPr>
      </w:pPr>
      <w:r>
        <w:rPr>
          <w:rFonts w:ascii="Open Sans" w:eastAsia="Open Sans" w:hAnsi="Open Sans" w:cs="Open Sans"/>
          <w:b/>
          <w:sz w:val="26"/>
          <w:szCs w:val="26"/>
        </w:rPr>
        <w:t xml:space="preserve">Prava i obaveze organizatora </w:t>
      </w:r>
    </w:p>
    <w:p w14:paraId="4597D0A2" w14:textId="77777777" w:rsidR="00D46C69" w:rsidRDefault="004B549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eastAsia="Open Sans" w:hAnsi="Open Sans" w:cs="Open Sans"/>
          <w:sz w:val="22"/>
          <w:szCs w:val="22"/>
        </w:rPr>
        <w:t xml:space="preserve">Organizator stječe pravo organizacije programa stručnog osposobljavanja i usavršavanja u </w:t>
      </w:r>
      <w:r>
        <w:rPr>
          <w:rFonts w:ascii="Open Sans" w:eastAsia="Open Sans" w:hAnsi="Open Sans" w:cs="Open Sans"/>
          <w:sz w:val="22"/>
          <w:szCs w:val="22"/>
        </w:rPr>
        <w:lastRenderedPageBreak/>
        <w:t>aplikaciji EMA po potpisivanju sporazuma o korištenju aplikacije i dodjeli odgovarajućih uloga s administrativnim ovlastima od strane davatelja usluge.</w:t>
      </w:r>
    </w:p>
    <w:p w14:paraId="6C2BC00C" w14:textId="77777777" w:rsidR="00D46C69" w:rsidRDefault="004B549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eastAsia="Open Sans" w:hAnsi="Open Sans" w:cs="Open Sans"/>
          <w:sz w:val="22"/>
          <w:szCs w:val="22"/>
        </w:rPr>
        <w:t xml:space="preserve">U okviru ovog Pravilnika navedena su osnovna prava i obaveze organizatora, dok su detaljna prava i obaveze svakog pojedinog organizatora i davatelja usluge regulirani njihovim međusobnim sporazumom.  </w:t>
      </w:r>
    </w:p>
    <w:p w14:paraId="65738D75" w14:textId="77777777" w:rsidR="00D46C69" w:rsidRDefault="004B549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eastAsia="Open Sans" w:hAnsi="Open Sans" w:cs="Open Sans"/>
          <w:sz w:val="22"/>
          <w:szCs w:val="22"/>
        </w:rPr>
        <w:t>Organizator ima pravo koristiti aplikaciju EMA za izradu, objavu i provedbu edukacija u njegovoj organizaciji. Također ima pravo koristiti se statističkim izvještajima vezanim uz održane edukacije koji se generiraju u okviru aplikacije.</w:t>
      </w:r>
    </w:p>
    <w:p w14:paraId="1D06C083" w14:textId="77777777" w:rsidR="00D46C69" w:rsidRDefault="004B5492">
      <w:pPr>
        <w:widowControl w:val="0"/>
        <w:spacing w:before="120"/>
        <w:jc w:val="both"/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eastAsia="Open Sans" w:hAnsi="Open Sans" w:cs="Open Sans"/>
          <w:sz w:val="22"/>
          <w:szCs w:val="22"/>
        </w:rPr>
        <w:t>Organizator ima pravo na tehničku podršku putem dogovorene e-adrese i na upute o korištenju aplikacije.</w:t>
      </w:r>
    </w:p>
    <w:p w14:paraId="2714107F" w14:textId="77777777" w:rsidR="00D46C69" w:rsidRDefault="004B549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eastAsia="Open Sans" w:hAnsi="Open Sans" w:cs="Open Sans"/>
          <w:sz w:val="22"/>
          <w:szCs w:val="22"/>
        </w:rPr>
        <w:t>Organizatori su obavezni:</w:t>
      </w:r>
    </w:p>
    <w:p w14:paraId="47C9A6BD" w14:textId="77777777" w:rsidR="00D46C69" w:rsidRDefault="004B5492">
      <w:pPr>
        <w:widowControl w:val="0"/>
        <w:numPr>
          <w:ilvl w:val="0"/>
          <w:numId w:val="3"/>
        </w:numPr>
        <w:spacing w:before="120"/>
        <w:ind w:left="714" w:hanging="357"/>
        <w:jc w:val="both"/>
        <w:rPr>
          <w:sz w:val="22"/>
          <w:szCs w:val="22"/>
        </w:rPr>
      </w:pPr>
      <w:r>
        <w:rPr>
          <w:rFonts w:ascii="Open Sans" w:eastAsia="Open Sans" w:hAnsi="Open Sans" w:cs="Open Sans"/>
          <w:sz w:val="22"/>
          <w:szCs w:val="22"/>
        </w:rPr>
        <w:t>Imenovati osobe kojima će biti dodijeljene uloge s administrativnim pravima (Administrator ustanove, Savjetnik/Voditelj/Moderator, Predavač, Dobavljač).</w:t>
      </w:r>
    </w:p>
    <w:p w14:paraId="1E0E68E5" w14:textId="77777777" w:rsidR="00D46C69" w:rsidRDefault="004B5492">
      <w:pPr>
        <w:widowControl w:val="0"/>
        <w:numPr>
          <w:ilvl w:val="0"/>
          <w:numId w:val="3"/>
        </w:numPr>
        <w:spacing w:before="120"/>
        <w:jc w:val="both"/>
        <w:rPr>
          <w:sz w:val="22"/>
          <w:szCs w:val="22"/>
        </w:rPr>
      </w:pPr>
      <w:r>
        <w:rPr>
          <w:rFonts w:ascii="Open Sans" w:eastAsia="Open Sans" w:hAnsi="Open Sans" w:cs="Open Sans"/>
          <w:sz w:val="22"/>
          <w:szCs w:val="22"/>
        </w:rPr>
        <w:t>Imenovati osobu/e za komunikaciju s davateljem usluge.</w:t>
      </w:r>
    </w:p>
    <w:p w14:paraId="29DAD091" w14:textId="77777777" w:rsidR="00D46C69" w:rsidRDefault="004B5492">
      <w:pPr>
        <w:widowControl w:val="0"/>
        <w:numPr>
          <w:ilvl w:val="0"/>
          <w:numId w:val="3"/>
        </w:numPr>
        <w:spacing w:before="120"/>
        <w:jc w:val="both"/>
        <w:rPr>
          <w:sz w:val="22"/>
          <w:szCs w:val="22"/>
        </w:rPr>
      </w:pPr>
      <w:r>
        <w:rPr>
          <w:rFonts w:ascii="Open Sans" w:eastAsia="Open Sans" w:hAnsi="Open Sans" w:cs="Open Sans"/>
          <w:sz w:val="22"/>
          <w:szCs w:val="22"/>
        </w:rPr>
        <w:t>Definirati jasnu proceduru organizacije i provedbe edukacija te druge elemente vezano uz održavanje edukacija (kao što su mogućnost izdavanja potvrda, znački, ispunjavanja evaluacijskih upitnika), o tome obavijestiti CARNET i pridržavati se definirane procedure.</w:t>
      </w:r>
    </w:p>
    <w:p w14:paraId="4A800711" w14:textId="77777777" w:rsidR="00D46C69" w:rsidRDefault="004B5492">
      <w:pPr>
        <w:widowControl w:val="0"/>
        <w:numPr>
          <w:ilvl w:val="0"/>
          <w:numId w:val="3"/>
        </w:numPr>
        <w:spacing w:before="120"/>
        <w:ind w:left="714" w:hanging="357"/>
        <w:jc w:val="both"/>
        <w:rPr>
          <w:sz w:val="22"/>
          <w:szCs w:val="22"/>
        </w:rPr>
      </w:pPr>
      <w:r>
        <w:rPr>
          <w:rFonts w:ascii="Open Sans" w:eastAsia="Open Sans" w:hAnsi="Open Sans" w:cs="Open Sans"/>
          <w:sz w:val="22"/>
          <w:szCs w:val="22"/>
        </w:rPr>
        <w:t>Osigurati komunikacijski kanal putem kojeg će korisnicima aplikacije EMA biti pružena podrška te isti javiti CARNET-u i objaviti korisnicima u opisu edukacije.</w:t>
      </w:r>
    </w:p>
    <w:p w14:paraId="2C9C0074" w14:textId="77777777" w:rsidR="00D46C69" w:rsidRDefault="004B5492">
      <w:pPr>
        <w:widowControl w:val="0"/>
        <w:numPr>
          <w:ilvl w:val="0"/>
          <w:numId w:val="3"/>
        </w:numPr>
        <w:spacing w:before="120"/>
        <w:ind w:left="714" w:hanging="357"/>
        <w:jc w:val="both"/>
        <w:rPr>
          <w:sz w:val="22"/>
          <w:szCs w:val="22"/>
        </w:rPr>
      </w:pPr>
      <w:r>
        <w:rPr>
          <w:rFonts w:ascii="Open Sans" w:eastAsia="Open Sans" w:hAnsi="Open Sans" w:cs="Open Sans"/>
          <w:sz w:val="22"/>
          <w:szCs w:val="22"/>
        </w:rPr>
        <w:t>Osigurati i unijeti sve potrebne podatke i sadržaje potrebne za kreiranje edukacije uključujući predloške potpisnih lista, potvrda i značaka i dr.</w:t>
      </w:r>
    </w:p>
    <w:p w14:paraId="77CA1D7B" w14:textId="77777777" w:rsidR="00D46C69" w:rsidRDefault="004B549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eastAsia="Open Sans" w:hAnsi="Open Sans" w:cs="Open Sans"/>
          <w:sz w:val="22"/>
          <w:szCs w:val="22"/>
        </w:rPr>
        <w:t xml:space="preserve">Organizator je odgovoran za točnost objavljenih informacija, kao i za sadržaj i provedbu programa stručnog osposobljavanja i usavršavanja. </w:t>
      </w:r>
    </w:p>
    <w:p w14:paraId="1FD9F27E" w14:textId="77777777" w:rsidR="00D46C69" w:rsidRDefault="004B549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eastAsia="Open Sans" w:hAnsi="Open Sans" w:cs="Open Sans"/>
          <w:sz w:val="22"/>
          <w:szCs w:val="22"/>
        </w:rPr>
        <w:t xml:space="preserve">CARNET kao davatelj usluge nije odgovoran za točnost objavljenih informacija kao ni za sadržaj i provedbu stručnih osposobljavanja i usavršavanja drugih organizatora, osim onih u njegovoj organizaciji. </w:t>
      </w:r>
    </w:p>
    <w:p w14:paraId="07389A87" w14:textId="77777777" w:rsidR="00D46C69" w:rsidRDefault="004B549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eastAsia="Open Sans" w:hAnsi="Open Sans" w:cs="Open Sans"/>
          <w:sz w:val="22"/>
          <w:szCs w:val="22"/>
        </w:rPr>
        <w:t>CARNET kao davatelj usluge zadržava pravo uklanjanja objavljenih edukacija te zatvaranja prijava na iste, ukoliko procjeni da objavljena edukacija drugih organizatora nije u skladu s  odlukom o prihvatljivom korištenju CARNET mreže.</w:t>
      </w:r>
    </w:p>
    <w:p w14:paraId="218CDCD9" w14:textId="77777777" w:rsidR="00D46C69" w:rsidRDefault="004B549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eastAsia="Open Sans" w:hAnsi="Open Sans" w:cs="Open Sans"/>
          <w:sz w:val="22"/>
          <w:szCs w:val="22"/>
        </w:rPr>
        <w:t>Organizator jamči da bilo kojom informacijom ili sadržajem objavljenom u aplikaciji EMA ne krši autorska ili druga prava bilo koje treće strane. Organizator će nadoknaditi CARNET-u svu štetu nastalu od svih gubitaka, troškova, ili bilo kojih drugih zahtjeva, koji mogu nastati kao posljedica povreda prava trećih strana.</w:t>
      </w:r>
    </w:p>
    <w:p w14:paraId="34014654" w14:textId="77777777" w:rsidR="00D46C69" w:rsidRDefault="004B5492">
      <w:pPr>
        <w:widowControl w:val="0"/>
        <w:spacing w:before="120" w:after="120" w:line="246" w:lineRule="auto"/>
        <w:jc w:val="both"/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eastAsia="Open Sans" w:hAnsi="Open Sans" w:cs="Open Sans"/>
          <w:sz w:val="22"/>
          <w:szCs w:val="22"/>
        </w:rPr>
        <w:t>Organizatori su obavezni u potpunosti poštivati odredbe Opće uredbe o zaštiti podataka te nacionalne propise vezano za zaštitu osobnih podataka korisnika. U skladu s time, dužni su kroz Obavijest o privatnosti informirati korisnike na temelju koje osnove i koje osobne podatke prikupljaju, kako brinu o njihovoj zaštiti te koja su prava korisnika vezana uz obradu podataka.</w:t>
      </w:r>
    </w:p>
    <w:p w14:paraId="2FF3C1A9" w14:textId="77777777" w:rsidR="00D46C69" w:rsidRDefault="004B5492">
      <w:pPr>
        <w:widowControl w:val="0"/>
        <w:spacing w:before="240" w:after="120"/>
        <w:rPr>
          <w:rFonts w:ascii="Open Sans" w:eastAsia="Open Sans" w:hAnsi="Open Sans" w:cs="Open Sans"/>
          <w:sz w:val="26"/>
          <w:szCs w:val="26"/>
        </w:rPr>
      </w:pPr>
      <w:r>
        <w:rPr>
          <w:rFonts w:ascii="Open Sans" w:eastAsia="Open Sans" w:hAnsi="Open Sans" w:cs="Open Sans"/>
          <w:b/>
          <w:sz w:val="26"/>
          <w:szCs w:val="26"/>
        </w:rPr>
        <w:t>Prava i obaveze CARNET-a kao davatelja usluge</w:t>
      </w:r>
    </w:p>
    <w:p w14:paraId="35592C43" w14:textId="77777777" w:rsidR="00D46C69" w:rsidRDefault="004B5492">
      <w:pPr>
        <w:widowControl w:val="0"/>
        <w:spacing w:before="120" w:after="120" w:line="246" w:lineRule="auto"/>
        <w:jc w:val="both"/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eastAsia="Open Sans" w:hAnsi="Open Sans" w:cs="Open Sans"/>
          <w:sz w:val="22"/>
          <w:szCs w:val="22"/>
        </w:rPr>
        <w:t xml:space="preserve">CARNET putem aplikacije EMA pruža uslugu za objavu, prijavu/odjavu te praćenje programa </w:t>
      </w:r>
      <w:r>
        <w:rPr>
          <w:rFonts w:ascii="Open Sans" w:eastAsia="Open Sans" w:hAnsi="Open Sans" w:cs="Open Sans"/>
          <w:sz w:val="22"/>
          <w:szCs w:val="22"/>
        </w:rPr>
        <w:lastRenderedPageBreak/>
        <w:t xml:space="preserve">stručnih osposobljavanja i usavršavanja. </w:t>
      </w:r>
    </w:p>
    <w:p w14:paraId="3903E533" w14:textId="77777777" w:rsidR="00D46C69" w:rsidRDefault="004B5492">
      <w:pPr>
        <w:widowControl w:val="0"/>
        <w:spacing w:before="120" w:after="120" w:line="246" w:lineRule="auto"/>
        <w:jc w:val="both"/>
        <w:rPr>
          <w:rFonts w:ascii="Open Sans" w:eastAsia="Open Sans" w:hAnsi="Open Sans" w:cs="Open Sans"/>
          <w:sz w:val="26"/>
          <w:szCs w:val="26"/>
        </w:rPr>
      </w:pPr>
      <w:r>
        <w:rPr>
          <w:rFonts w:ascii="Open Sans" w:eastAsia="Open Sans" w:hAnsi="Open Sans" w:cs="Open Sans"/>
          <w:sz w:val="22"/>
          <w:szCs w:val="22"/>
        </w:rPr>
        <w:t>CARNET ima obavezu osigurati kontinuirani rad i administraciju aplikacije EMA.</w:t>
      </w:r>
    </w:p>
    <w:p w14:paraId="657CADB7" w14:textId="77777777" w:rsidR="00D46C69" w:rsidRDefault="004B5492">
      <w:pPr>
        <w:widowControl w:val="0"/>
        <w:spacing w:before="120" w:line="246" w:lineRule="auto"/>
        <w:jc w:val="both"/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eastAsia="Open Sans" w:hAnsi="Open Sans" w:cs="Open Sans"/>
          <w:sz w:val="22"/>
          <w:szCs w:val="22"/>
        </w:rPr>
        <w:t>CARNET ima obavezu osigurati podršku organizatorima u obliku uputa o korištenju aplikacije, administracije ovlasti i uloga te pružanja osnovne tehničke podrške.</w:t>
      </w:r>
    </w:p>
    <w:p w14:paraId="7B213DAA" w14:textId="77777777" w:rsidR="00D46C69" w:rsidRDefault="004B5492">
      <w:pPr>
        <w:widowControl w:val="0"/>
        <w:spacing w:before="120" w:line="246" w:lineRule="auto"/>
        <w:jc w:val="both"/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eastAsia="Open Sans" w:hAnsi="Open Sans" w:cs="Open Sans"/>
          <w:sz w:val="22"/>
          <w:szCs w:val="22"/>
        </w:rPr>
        <w:t>CARNET-ova podrška organizatorima ne uključuje kreiranje edukacija, praćenje stanja prijava i odjava na edukacijama kao ni pružanje informacija krajnjim korisnicima o edukacijama koje organizator provodi kroz aplikaciju EMA.</w:t>
      </w:r>
    </w:p>
    <w:p w14:paraId="45478A15" w14:textId="77777777" w:rsidR="00D46C69" w:rsidRDefault="004B5492">
      <w:pPr>
        <w:widowControl w:val="0"/>
        <w:spacing w:before="120" w:line="246" w:lineRule="auto"/>
        <w:jc w:val="both"/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eastAsia="Open Sans" w:hAnsi="Open Sans" w:cs="Open Sans"/>
          <w:sz w:val="22"/>
          <w:szCs w:val="22"/>
        </w:rPr>
        <w:t>CARNET ima obavezu osigurati podršku krajnjim korisnicima u obliku uputa za korisnike i korisničke podrške putem e-adrese koja je navedena na stranicama sustava.</w:t>
      </w:r>
    </w:p>
    <w:p w14:paraId="6489340C" w14:textId="77777777" w:rsidR="00D46C69" w:rsidRDefault="004B5492">
      <w:pPr>
        <w:widowControl w:val="0"/>
        <w:spacing w:before="120" w:after="120"/>
        <w:jc w:val="both"/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eastAsia="Open Sans" w:hAnsi="Open Sans" w:cs="Open Sans"/>
          <w:sz w:val="22"/>
          <w:szCs w:val="22"/>
        </w:rPr>
        <w:t>CARNET ne odgovara za eventualna kršenja autorskog prava od strane korisnika aplikacije EMA te ne snosi odgovornost za eventualnu štetu na računalu nastalu preuzimanjem datoteka s aplikacije EMA ili s mrežnih stranica do kojih korisnici dođu putem linka s aplikacije EMA.</w:t>
      </w:r>
    </w:p>
    <w:p w14:paraId="7E9EAA30" w14:textId="77777777" w:rsidR="00D46C69" w:rsidRDefault="004B5492">
      <w:pPr>
        <w:widowControl w:val="0"/>
        <w:spacing w:before="240" w:after="120"/>
        <w:rPr>
          <w:rFonts w:ascii="Open Sans" w:eastAsia="Open Sans" w:hAnsi="Open Sans" w:cs="Open Sans"/>
          <w:b/>
          <w:sz w:val="26"/>
          <w:szCs w:val="26"/>
        </w:rPr>
      </w:pPr>
      <w:r>
        <w:rPr>
          <w:rFonts w:ascii="Open Sans" w:eastAsia="Open Sans" w:hAnsi="Open Sans" w:cs="Open Sans"/>
          <w:b/>
          <w:sz w:val="26"/>
          <w:szCs w:val="26"/>
        </w:rPr>
        <w:t xml:space="preserve">Zaštita prava i privatnosti krajnjih korisnika </w:t>
      </w:r>
    </w:p>
    <w:p w14:paraId="27F400FB" w14:textId="77777777" w:rsidR="00D46C69" w:rsidRDefault="004B5492">
      <w:pPr>
        <w:widowControl w:val="0"/>
        <w:spacing w:before="120" w:line="246" w:lineRule="auto"/>
        <w:jc w:val="both"/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eastAsia="Open Sans" w:hAnsi="Open Sans" w:cs="Open Sans"/>
          <w:sz w:val="22"/>
          <w:szCs w:val="22"/>
        </w:rPr>
        <w:t xml:space="preserve">Svi organizatori u aplikaciji EMA obvezuju se na zaštitu osobnih podataka krajnjih korisnika sukladno odrednicama Obavijesti o privatnosti, a koje su ispred svakog organizatora edukacija/obrazovnih aktivnosti objavljene na stranici </w:t>
      </w:r>
      <w:hyperlink r:id="rId13">
        <w:r>
          <w:rPr>
            <w:rFonts w:ascii="Open Sans" w:eastAsia="Open Sans" w:hAnsi="Open Sans" w:cs="Open Sans"/>
            <w:color w:val="1155CC"/>
            <w:sz w:val="22"/>
            <w:szCs w:val="22"/>
            <w:u w:val="single"/>
          </w:rPr>
          <w:t>https://ema.e-skole.hr/kategorija/Obavijest+o+privatnosti/1</w:t>
        </w:r>
      </w:hyperlink>
      <w:r>
        <w:rPr>
          <w:rFonts w:ascii="Open Sans" w:eastAsia="Open Sans" w:hAnsi="Open Sans" w:cs="Open Sans"/>
          <w:sz w:val="22"/>
          <w:szCs w:val="22"/>
        </w:rPr>
        <w:t xml:space="preserve">. </w:t>
      </w:r>
    </w:p>
    <w:p w14:paraId="56D6554E" w14:textId="77777777" w:rsidR="00D46C69" w:rsidRDefault="00D46C69">
      <w:pPr>
        <w:widowControl w:val="0"/>
        <w:spacing w:before="120" w:line="246" w:lineRule="auto"/>
        <w:jc w:val="both"/>
        <w:rPr>
          <w:rFonts w:ascii="Open Sans" w:eastAsia="Open Sans" w:hAnsi="Open Sans" w:cs="Open Sans"/>
          <w:sz w:val="22"/>
          <w:szCs w:val="22"/>
        </w:rPr>
      </w:pPr>
    </w:p>
    <w:p w14:paraId="77936D0C" w14:textId="77777777" w:rsidR="00D46C69" w:rsidRDefault="004B5492">
      <w:pPr>
        <w:widowControl w:val="0"/>
        <w:spacing w:before="120" w:line="246" w:lineRule="auto"/>
        <w:jc w:val="both"/>
        <w:rPr>
          <w:rFonts w:ascii="Open Sans" w:eastAsia="Open Sans" w:hAnsi="Open Sans" w:cs="Open Sans"/>
          <w:sz w:val="26"/>
          <w:szCs w:val="26"/>
        </w:rPr>
      </w:pPr>
      <w:r>
        <w:rPr>
          <w:rFonts w:ascii="Open Sans" w:eastAsia="Open Sans" w:hAnsi="Open Sans" w:cs="Open Sans"/>
          <w:b/>
          <w:sz w:val="26"/>
          <w:szCs w:val="26"/>
        </w:rPr>
        <w:t>Dodatne informacije i podrška</w:t>
      </w:r>
    </w:p>
    <w:p w14:paraId="6DCB4BC9" w14:textId="77777777" w:rsidR="00D46C69" w:rsidRDefault="004B5492">
      <w:pPr>
        <w:widowControl w:val="0"/>
        <w:spacing w:before="120" w:line="246" w:lineRule="auto"/>
        <w:jc w:val="both"/>
        <w:rPr>
          <w:rFonts w:ascii="Open Sans" w:eastAsia="Open Sans" w:hAnsi="Open Sans" w:cs="Open Sans"/>
          <w:sz w:val="19"/>
          <w:szCs w:val="19"/>
        </w:rPr>
      </w:pPr>
      <w:r>
        <w:rPr>
          <w:rFonts w:ascii="Open Sans" w:eastAsia="Open Sans" w:hAnsi="Open Sans" w:cs="Open Sans"/>
          <w:sz w:val="22"/>
          <w:szCs w:val="22"/>
        </w:rPr>
        <w:t>Dodatne informacije te osnovnu tehničku podršku za prijavu i radu u aplikaciji krajnjim korisnicima pruža CARNET-ov Helpdesk</w:t>
      </w:r>
      <w:r>
        <w:rPr>
          <w:rFonts w:ascii="Open Sans" w:eastAsia="Open Sans" w:hAnsi="Open Sans" w:cs="Open Sans"/>
          <w:color w:val="383E40"/>
          <w:sz w:val="21"/>
          <w:szCs w:val="21"/>
        </w:rPr>
        <w:t xml:space="preserve">. </w:t>
      </w:r>
    </w:p>
    <w:p w14:paraId="2B27438D" w14:textId="77777777" w:rsidR="00D46C69" w:rsidRDefault="00D46C69">
      <w:pPr>
        <w:widowControl w:val="0"/>
        <w:rPr>
          <w:rFonts w:ascii="Open Sans" w:eastAsia="Open Sans" w:hAnsi="Open Sans" w:cs="Open Sans"/>
          <w:sz w:val="19"/>
          <w:szCs w:val="19"/>
        </w:rPr>
      </w:pPr>
    </w:p>
    <w:p w14:paraId="1C57307F" w14:textId="77777777" w:rsidR="00D46C69" w:rsidRDefault="00D46C69">
      <w:pPr>
        <w:widowControl w:val="0"/>
        <w:rPr>
          <w:rFonts w:ascii="Open Sans" w:eastAsia="Open Sans" w:hAnsi="Open Sans" w:cs="Open Sans"/>
          <w:b/>
          <w:sz w:val="19"/>
          <w:szCs w:val="19"/>
        </w:rPr>
      </w:pPr>
    </w:p>
    <w:p w14:paraId="57EC3B6C" w14:textId="77777777" w:rsidR="00D46C69" w:rsidRDefault="00D46C69">
      <w:pPr>
        <w:widowControl w:val="0"/>
        <w:rPr>
          <w:rFonts w:ascii="Open Sans" w:eastAsia="Open Sans" w:hAnsi="Open Sans" w:cs="Open Sans"/>
          <w:b/>
          <w:sz w:val="19"/>
          <w:szCs w:val="19"/>
        </w:rPr>
      </w:pPr>
    </w:p>
    <w:p w14:paraId="1CB07C6C" w14:textId="77777777" w:rsidR="00D46C69" w:rsidRDefault="00D46C69">
      <w:pPr>
        <w:widowControl w:val="0"/>
        <w:rPr>
          <w:rFonts w:ascii="Open Sans" w:eastAsia="Open Sans" w:hAnsi="Open Sans" w:cs="Open Sans"/>
          <w:b/>
          <w:sz w:val="19"/>
          <w:szCs w:val="19"/>
        </w:rPr>
      </w:pPr>
    </w:p>
    <w:p w14:paraId="39A1FB13" w14:textId="77777777" w:rsidR="00D46C69" w:rsidRDefault="00D46C69">
      <w:pPr>
        <w:widowControl w:val="0"/>
        <w:rPr>
          <w:rFonts w:ascii="Open Sans" w:eastAsia="Open Sans" w:hAnsi="Open Sans" w:cs="Open Sans"/>
          <w:sz w:val="19"/>
          <w:szCs w:val="19"/>
        </w:rPr>
      </w:pPr>
    </w:p>
    <w:sectPr w:rsidR="00D46C69">
      <w:headerReference w:type="default" r:id="rId14"/>
      <w:footerReference w:type="default" r:id="rId15"/>
      <w:pgSz w:w="11900" w:h="16840"/>
      <w:pgMar w:top="1304" w:right="1134" w:bottom="1304" w:left="1140" w:header="567" w:footer="73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2307BB" w14:textId="77777777" w:rsidR="00D52228" w:rsidRDefault="00D52228">
      <w:r>
        <w:separator/>
      </w:r>
    </w:p>
  </w:endnote>
  <w:endnote w:type="continuationSeparator" w:id="0">
    <w:p w14:paraId="43A6ACAA" w14:textId="77777777" w:rsidR="00D52228" w:rsidRDefault="00D522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eorgia">
    <w:altName w:val="﷽﷽﷽﷽﷽﷽﷽﷽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DB2F1" w14:textId="032E3BFC" w:rsidR="00D46C69" w:rsidRDefault="004B5492">
    <w:pPr>
      <w:pBdr>
        <w:top w:val="single" w:sz="4" w:space="1" w:color="000000"/>
        <w:left w:val="nil"/>
        <w:bottom w:val="nil"/>
        <w:right w:val="nil"/>
        <w:between w:val="nil"/>
      </w:pBdr>
      <w:tabs>
        <w:tab w:val="right" w:pos="9639"/>
      </w:tabs>
      <w:rPr>
        <w:rFonts w:ascii="Open Sans" w:eastAsia="Open Sans" w:hAnsi="Open Sans" w:cs="Open Sans"/>
        <w:color w:val="000000"/>
        <w:sz w:val="22"/>
        <w:szCs w:val="22"/>
      </w:rPr>
    </w:pPr>
    <w:r>
      <w:rPr>
        <w:rFonts w:ascii="Open Sans" w:eastAsia="Open Sans" w:hAnsi="Open Sans" w:cs="Open Sans"/>
        <w:color w:val="000000"/>
        <w:sz w:val="22"/>
        <w:szCs w:val="22"/>
      </w:rPr>
      <w:t>CDA00</w:t>
    </w:r>
    <w:r w:rsidR="00B95861">
      <w:rPr>
        <w:rFonts w:ascii="Open Sans" w:eastAsia="Open Sans" w:hAnsi="Open Sans" w:cs="Open Sans"/>
        <w:color w:val="000000"/>
        <w:sz w:val="22"/>
        <w:szCs w:val="22"/>
      </w:rPr>
      <w:t>65</w:t>
    </w:r>
    <w:r>
      <w:rPr>
        <w:rFonts w:ascii="Open Sans" w:eastAsia="Open Sans" w:hAnsi="Open Sans" w:cs="Open Sans"/>
        <w:color w:val="000000"/>
        <w:sz w:val="22"/>
        <w:szCs w:val="22"/>
      </w:rPr>
      <w:tab/>
    </w:r>
    <w:r>
      <w:rPr>
        <w:rFonts w:ascii="Open Sans" w:eastAsia="Open Sans" w:hAnsi="Open Sans" w:cs="Open Sans"/>
        <w:color w:val="000000"/>
        <w:sz w:val="22"/>
        <w:szCs w:val="22"/>
      </w:rPr>
      <w:tab/>
    </w:r>
    <w:r>
      <w:rPr>
        <w:rFonts w:ascii="Open Sans" w:eastAsia="Open Sans" w:hAnsi="Open Sans" w:cs="Open Sans"/>
        <w:color w:val="000000"/>
        <w:sz w:val="20"/>
        <w:szCs w:val="20"/>
      </w:rPr>
      <w:fldChar w:fldCharType="begin"/>
    </w:r>
    <w:r>
      <w:rPr>
        <w:rFonts w:ascii="Open Sans" w:eastAsia="Open Sans" w:hAnsi="Open Sans" w:cs="Open Sans"/>
        <w:color w:val="000000"/>
        <w:sz w:val="20"/>
        <w:szCs w:val="20"/>
      </w:rPr>
      <w:instrText>PAGE</w:instrText>
    </w:r>
    <w:r>
      <w:rPr>
        <w:rFonts w:ascii="Open Sans" w:eastAsia="Open Sans" w:hAnsi="Open Sans" w:cs="Open Sans"/>
        <w:color w:val="000000"/>
        <w:sz w:val="20"/>
        <w:szCs w:val="20"/>
      </w:rPr>
      <w:fldChar w:fldCharType="separate"/>
    </w:r>
    <w:r w:rsidR="002C1A9D">
      <w:rPr>
        <w:rFonts w:ascii="Open Sans" w:eastAsia="Open Sans" w:hAnsi="Open Sans" w:cs="Open Sans"/>
        <w:noProof/>
        <w:color w:val="000000"/>
        <w:sz w:val="20"/>
        <w:szCs w:val="20"/>
      </w:rPr>
      <w:t>2</w:t>
    </w:r>
    <w:r>
      <w:rPr>
        <w:rFonts w:ascii="Open Sans" w:eastAsia="Open Sans" w:hAnsi="Open Sans" w:cs="Open Sans"/>
        <w:color w:val="000000"/>
        <w:sz w:val="20"/>
        <w:szCs w:val="20"/>
      </w:rPr>
      <w:fldChar w:fldCharType="end"/>
    </w:r>
    <w:r>
      <w:rPr>
        <w:rFonts w:ascii="Open Sans" w:eastAsia="Open Sans" w:hAnsi="Open Sans" w:cs="Open Sans"/>
        <w:color w:val="000000"/>
        <w:sz w:val="20"/>
        <w:szCs w:val="20"/>
      </w:rPr>
      <w:t xml:space="preserve"> / </w:t>
    </w:r>
    <w:r>
      <w:rPr>
        <w:rFonts w:ascii="Open Sans" w:eastAsia="Open Sans" w:hAnsi="Open Sans" w:cs="Open Sans"/>
        <w:color w:val="000000"/>
        <w:sz w:val="20"/>
        <w:szCs w:val="20"/>
      </w:rPr>
      <w:fldChar w:fldCharType="begin"/>
    </w:r>
    <w:r>
      <w:rPr>
        <w:rFonts w:ascii="Open Sans" w:eastAsia="Open Sans" w:hAnsi="Open Sans" w:cs="Open Sans"/>
        <w:color w:val="000000"/>
        <w:sz w:val="20"/>
        <w:szCs w:val="20"/>
      </w:rPr>
      <w:instrText>NUMPAGES</w:instrText>
    </w:r>
    <w:r>
      <w:rPr>
        <w:rFonts w:ascii="Open Sans" w:eastAsia="Open Sans" w:hAnsi="Open Sans" w:cs="Open Sans"/>
        <w:color w:val="000000"/>
        <w:sz w:val="20"/>
        <w:szCs w:val="20"/>
      </w:rPr>
      <w:fldChar w:fldCharType="separate"/>
    </w:r>
    <w:r w:rsidR="002C1A9D">
      <w:rPr>
        <w:rFonts w:ascii="Open Sans" w:eastAsia="Open Sans" w:hAnsi="Open Sans" w:cs="Open Sans"/>
        <w:noProof/>
        <w:color w:val="000000"/>
        <w:sz w:val="20"/>
        <w:szCs w:val="20"/>
      </w:rPr>
      <w:t>3</w:t>
    </w:r>
    <w:r>
      <w:rPr>
        <w:rFonts w:ascii="Open Sans" w:eastAsia="Open Sans" w:hAnsi="Open Sans" w:cs="Open Sans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DCF82" w14:textId="77777777" w:rsidR="00D52228" w:rsidRDefault="00D52228">
      <w:r>
        <w:separator/>
      </w:r>
    </w:p>
  </w:footnote>
  <w:footnote w:type="continuationSeparator" w:id="0">
    <w:p w14:paraId="7B6DDB84" w14:textId="77777777" w:rsidR="00D52228" w:rsidRDefault="00D522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FD419" w14:textId="77777777" w:rsidR="00D46C69" w:rsidRDefault="004B5492">
    <w:pPr>
      <w:pBdr>
        <w:top w:val="nil"/>
        <w:left w:val="nil"/>
        <w:bottom w:val="single" w:sz="4" w:space="1" w:color="000000"/>
        <w:right w:val="nil"/>
        <w:between w:val="nil"/>
      </w:pBdr>
      <w:tabs>
        <w:tab w:val="left" w:pos="2025"/>
      </w:tabs>
      <w:rPr>
        <w:color w:val="000000"/>
      </w:rPr>
    </w:pPr>
    <w:r>
      <w:rPr>
        <w:noProof/>
        <w:color w:val="000000"/>
      </w:rPr>
      <w:drawing>
        <wp:inline distT="0" distB="0" distL="0" distR="0" wp14:anchorId="65E64236" wp14:editId="4D86FA97">
          <wp:extent cx="1009461" cy="247481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9461" cy="24748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000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70E67"/>
    <w:multiLevelType w:val="multilevel"/>
    <w:tmpl w:val="87C6222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54D0915"/>
    <w:multiLevelType w:val="multilevel"/>
    <w:tmpl w:val="4DC01F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60167225"/>
    <w:multiLevelType w:val="multilevel"/>
    <w:tmpl w:val="68502B2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6C69"/>
    <w:rsid w:val="002C1A9D"/>
    <w:rsid w:val="00386363"/>
    <w:rsid w:val="004B5492"/>
    <w:rsid w:val="00542BEF"/>
    <w:rsid w:val="006324DF"/>
    <w:rsid w:val="00A0211E"/>
    <w:rsid w:val="00AD0C01"/>
    <w:rsid w:val="00B373D9"/>
    <w:rsid w:val="00B95861"/>
    <w:rsid w:val="00D443DB"/>
    <w:rsid w:val="00D46C69"/>
    <w:rsid w:val="00D52228"/>
    <w:rsid w:val="00E30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35AA7"/>
  <w15:docId w15:val="{91D683FA-6F2C-A440-B14D-8F71BEA1C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hr-HR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9586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95861"/>
  </w:style>
  <w:style w:type="paragraph" w:styleId="Footer">
    <w:name w:val="footer"/>
    <w:basedOn w:val="Normal"/>
    <w:link w:val="FooterChar"/>
    <w:uiPriority w:val="99"/>
    <w:unhideWhenUsed/>
    <w:rsid w:val="00B9586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5861"/>
  </w:style>
  <w:style w:type="character" w:styleId="Hyperlink">
    <w:name w:val="Hyperlink"/>
    <w:basedOn w:val="DefaultParagraphFont"/>
    <w:uiPriority w:val="99"/>
    <w:unhideWhenUsed/>
    <w:rsid w:val="0038636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863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tp://ftp.carnet.hr/pub/CARNET/docs/rules/CDA0065.pdf" TargetMode="External"/><Relationship Id="rId13" Type="http://schemas.openxmlformats.org/officeDocument/2006/relationships/hyperlink" Target="https://ema.e-skole.hr/kategorija/Obavijest+o+privatnosti/1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AAI@Edu.Hr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ftp.carnet.hr/pub/CARNet/docs/rules/CDA0035.pdf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AAI@Edu.H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AI@Edu.Hr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1806</Words>
  <Characters>10296</Characters>
  <Application>Microsoft Office Word</Application>
  <DocSecurity>0</DocSecurity>
  <Lines>85</Lines>
  <Paragraphs>24</Paragraphs>
  <ScaleCrop>false</ScaleCrop>
  <Company/>
  <LinksUpToDate>false</LinksUpToDate>
  <CharactersWithSpaces>12078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Zec</dc:creator>
  <cp:lastModifiedBy>Zdenka Zec</cp:lastModifiedBy>
  <cp:revision>3</cp:revision>
  <cp:lastPrinted>2021-07-09T09:51:00Z</cp:lastPrinted>
  <dcterms:created xsi:type="dcterms:W3CDTF">2021-07-09T09:50:00Z</dcterms:created>
  <dcterms:modified xsi:type="dcterms:W3CDTF">2021-07-09T09:55:00Z</dcterms:modified>
</cp:coreProperties>
</file>